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7.png" ContentType="image/png"/>
  <Override PartName="/word/media/rId45.png" ContentType="image/png"/>
  <Override PartName="/word/media/rId46.png" ContentType="image/png"/>
  <Override PartName="/word/media/rId52.png" ContentType="image/png"/>
  <Override PartName="/word/media/rId51.png" ContentType="image/png"/>
  <Override PartName="/word/media/rId48.png" ContentType="image/png"/>
  <Override PartName="/word/media/rId49.png" ContentType="image/png"/>
  <Override PartName="/word/media/rId5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2021-06-25 16:11:18</w:t>
      </w:r>
    </w:p>
    <w:bookmarkStart w:id="27" w:name="abstract"/>
    <w:p>
      <w:pPr>
        <w:pStyle w:val="Heading1"/>
      </w:pPr>
      <w:r>
        <w:t xml:space="preserve">Abstract</w:t>
      </w:r>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trends of interest. Here, we propose a novel application of generalized additive models (GAMs) to model seasonal and multi-decadal changes in a long-term monitoring dataset of chlorophyll-a concentrations in the San Francisco Estuary. GAMs have shown promise in water quality trend analysis to separate long-term (i.e., annual or decadal) trends from seasonal variation. Our proposed methods estimate seasonal averages in a response variable with GAMs and then use the uncertainty measures with mixed-effects meta-analysis regression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and their standard errors for an</w:t>
      </w:r>
      <w:r>
        <w:t xml:space="preserve"> </w:t>
      </w:r>
      <w:r>
        <w:rPr>
          <w:iCs/>
          <w:i/>
        </w:rPr>
        <w:t xml:space="preserve">a priori</w:t>
      </w:r>
      <w:r>
        <w:t xml:space="preserve"> </w:t>
      </w:r>
      <w:r>
        <w:t xml:space="preserve">time period within each year from the GAM results. Finally, we demonstrate how across-year trends in seasonal averages can be modeled with mixed-effects meta-analysis regression that propagates uncertainties from the GAM fits to the across-year analysis. Overall, this approach leverages GAMs to smooth data with missing observations or varying sample effort across years to estimate seasonal averages and meta-analysis to estimate trends across years. Methods are provided in the</w:t>
      </w:r>
      <w:r>
        <w:t xml:space="preserve"> </w:t>
      </w:r>
      <w:r>
        <w:rPr>
          <w:iCs/>
          <w:i/>
        </w:rPr>
        <w:t xml:space="preserve">wqtrends</w:t>
      </w:r>
      <w:r>
        <w:t xml:space="preserve"> </w:t>
      </w:r>
      <w:r>
        <w:t xml:space="preserve">R package.</w:t>
      </w:r>
    </w:p>
    <w:p>
      <w:pPr>
        <w:pStyle w:val="BodyText"/>
      </w:pPr>
      <w:r>
        <w:rPr>
          <w:iCs/>
          <w:i/>
        </w:rPr>
        <w:t xml:space="preserve">Key words</w:t>
      </w:r>
      <w:r>
        <w:t xml:space="preserve">: chlorophyll, Generalized Additive Models, meta-analysis, San Francisco Estuary, Trend analysis</w:t>
      </w:r>
    </w:p>
    <w:bookmarkEnd w:id="27"/>
    <w:bookmarkStart w:id="30" w:name="introduction"/>
    <w:p>
      <w:pPr>
        <w:pStyle w:val="Heading1"/>
      </w:pPr>
      <w:r>
        <w:t xml:space="preserve">Introduction</w:t>
      </w:r>
    </w:p>
    <w:p>
      <w:pPr>
        <w:pStyle w:val="FirstParagraph"/>
      </w:pPr>
      <w:r>
        <w:t xml:space="preserve">Accurate quantification of trends must consider variation at different temporal scales when ignoring variation at one scale could lead to incorrect conclusions about variation at another scale. Many environmental monitoring programs collect temporally resolved but irregular time series data to quantify trends for regulatory, management, or research purposes. The mismatch between the scales of monitoring versus analysis questions or management goals can present statistical challenges</w:t>
      </w:r>
      <w:r>
        <w:t xml:space="preserve"> </w:t>
      </w:r>
      <w:r>
        <w:t xml:space="preserve">(</w:t>
      </w:r>
      <w:hyperlink w:anchor="ref-Cumming06">
        <w:r>
          <w:rPr>
            <w:rStyle w:val="Hyperlink"/>
          </w:rPr>
          <w:t xml:space="preserve">Cumming et al., 2006</w:t>
        </w:r>
      </w:hyperlink>
      <w:r>
        <w:t xml:space="preserve">;</w:t>
      </w:r>
      <w:r>
        <w:t xml:space="preserve"> </w:t>
      </w:r>
      <w:hyperlink w:anchor="ref-Forbes18">
        <w:r>
          <w:rPr>
            <w:rStyle w:val="Hyperlink"/>
          </w:rPr>
          <w:t xml:space="preserve">Forbes and Xie, 2018</w:t>
        </w:r>
      </w:hyperlink>
      <w:r>
        <w:t xml:space="preserve">;</w:t>
      </w:r>
      <w:r>
        <w:t xml:space="preserve"> </w:t>
      </w:r>
      <w:hyperlink w:anchor="ref-Urquhart98">
        <w:r>
          <w:rPr>
            <w:rStyle w:val="Hyperlink"/>
          </w:rPr>
          <w:t xml:space="preserve">Urquhart et al., 1998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Many trend analysis methods lack the flexibility to evaluate one to many independent variables in an extendable structure that accommodates hypothesis testing at different time scales of interest. In this paper, we develop methods to estimate across-year trends of within-year features, such as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w:t>
      </w:r>
      <w:hyperlink w:anchor="ref-Helsel20">
        <w:r>
          <w:rPr>
            <w:rStyle w:val="Hyperlink"/>
          </w:rPr>
          <w:t xml:space="preserve">Helsel et al., 2020</w:t>
        </w:r>
      </w:hyperlink>
      <w:r>
        <w:t xml:space="preserve">;</w:t>
      </w:r>
      <w:r>
        <w:t xml:space="preserve"> </w:t>
      </w:r>
      <w:hyperlink w:anchor="ref-Hirsch82">
        <w:r>
          <w:rPr>
            <w:rStyle w:val="Hyperlink"/>
          </w:rPr>
          <w:t xml:space="preserve">Hirsch et al., 1982</w:t>
        </w:r>
      </w:hyperlink>
      <w:r>
        <w:t xml:space="preserve">)</w:t>
      </w:r>
      <w:r>
        <w:t xml:space="preserve">.</w:t>
      </w:r>
      <w:r>
        <w:t xml:space="preserve"> </w:t>
      </w:r>
      <w:hyperlink w:anchor="ref-Wan17">
        <w:r>
          <w:rPr>
            <w:rStyle w:val="Hyperlink"/>
          </w:rPr>
          <w:t xml:space="preserve">Wan et al.</w:t>
        </w:r>
      </w:hyperlink>
      <w:r>
        <w:t xml:space="preserve"> </w:t>
      </w:r>
      <w:r>
        <w:t xml:space="preserve">(</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do not include additional predictors to explain variation,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w:t>
      </w:r>
      <w:hyperlink w:anchor="ref-Cleveland90">
        <w:r>
          <w:rPr>
            <w:rStyle w:val="Hyperlink"/>
          </w:rPr>
          <w:t xml:space="preserve">Cleveland et al., 1990</w:t>
        </w:r>
      </w:hyperlink>
      <w:r>
        <w:t xml:space="preserve">;</w:t>
      </w:r>
      <w:r>
        <w:t xml:space="preserve"> </w:t>
      </w:r>
      <w:hyperlink w:anchor="ref-Cloern10">
        <w:r>
          <w:rPr>
            <w:rStyle w:val="Hyperlink"/>
          </w:rPr>
          <w:t xml:space="preserve">Cloern and Jassby, 2010</w:t>
        </w:r>
      </w:hyperlink>
      <w:r>
        <w:t xml:space="preserve">;</w:t>
      </w:r>
      <w:r>
        <w:t xml:space="preserve"> </w:t>
      </w:r>
      <w:hyperlink w:anchor="ref-Stow15">
        <w:r>
          <w:rPr>
            <w:rStyle w:val="Hyperlink"/>
          </w:rPr>
          <w:t xml:space="preserve">Stow et al., 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w:t>
      </w:r>
      <w:r>
        <w:t xml:space="preserve"> </w:t>
      </w:r>
      <w:hyperlink w:anchor="ref-Wan17">
        <w:r>
          <w:rPr>
            <w:rStyle w:val="Hyperlink"/>
          </w:rPr>
          <w:t xml:space="preserve">Wan et al., 2017</w:t>
        </w:r>
      </w:hyperlink>
      <w:r>
        <w:t xml:space="preserve">)</w:t>
      </w:r>
      <w:r>
        <w:t xml:space="preserve">, and it does not usually estimate standard errors to allow hypothesis testing</w:t>
      </w:r>
      <w:r>
        <w:t xml:space="preserve"> </w:t>
      </w:r>
      <w:r>
        <w:t xml:space="preserve">(but see</w:t>
      </w:r>
      <w:r>
        <w:t xml:space="preserve"> </w:t>
      </w:r>
      <w:hyperlink w:anchor="ref-Hafen10">
        <w:r>
          <w:rPr>
            <w:rStyle w:val="Hyperlink"/>
          </w:rPr>
          <w:t xml:space="preserve">Hafen, 2010</w:t>
        </w:r>
      </w:hyperlink>
      <w:r>
        <w:t xml:space="preserve">)</w:t>
      </w:r>
      <w:r>
        <w:t xml:space="preserve">. STL methods may also over-simplify trends into stationary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w:t>
      </w:r>
      <w:hyperlink w:anchor="ref-Cloern10">
        <w:r>
          <w:rPr>
            <w:rStyle w:val="Hyperlink"/>
          </w:rPr>
          <w:t xml:space="preserve">Cloern and Jassby, 2010</w:t>
        </w:r>
      </w:hyperlink>
      <w:r>
        <w:t xml:space="preserve">;</w:t>
      </w:r>
      <w:r>
        <w:t xml:space="preserve"> </w:t>
      </w:r>
      <w:hyperlink w:anchor="ref-Navarro12">
        <w:r>
          <w:rPr>
            <w:rStyle w:val="Hyperlink"/>
          </w:rPr>
          <w:t xml:space="preserve">Navarro et al., 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w:t>
      </w:r>
      <w:hyperlink w:anchor="ref-Beck18b">
        <w:r>
          <w:rPr>
            <w:rStyle w:val="Hyperlink"/>
          </w:rPr>
          <w:t xml:space="preserve">Beck et al., 2018</w:t>
        </w:r>
      </w:hyperlink>
      <w:r>
        <w:t xml:space="preserve">;</w:t>
      </w:r>
      <w:r>
        <w:t xml:space="preserve"> </w:t>
      </w:r>
      <w:hyperlink w:anchor="ref-Beck15">
        <w:r>
          <w:rPr>
            <w:rStyle w:val="Hyperlink"/>
          </w:rPr>
          <w:t xml:space="preserve">Beck and Hagy, 2015</w:t>
        </w:r>
      </w:hyperlink>
      <w:r>
        <w:t xml:space="preserve">;</w:t>
      </w:r>
      <w:r>
        <w:t xml:space="preserve"> </w:t>
      </w:r>
      <w:hyperlink w:anchor="ref-Hirsch10">
        <w:r>
          <w:rPr>
            <w:rStyle w:val="Hyperlink"/>
          </w:rPr>
          <w:t xml:space="preserve">Hirsch et al., 2010</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 kernel smoothing methods, with specific application to explanatory variables relevant for water quality constituents (i.e., season, year, and discharge). Standard error estimates of predictions from WRTDS are available through a block bootstrap approach applied to the model results</w:t>
      </w:r>
      <w:r>
        <w:t xml:space="preserve"> </w:t>
      </w:r>
      <w:r>
        <w:t xml:space="preserve">(</w:t>
      </w:r>
      <w:hyperlink w:anchor="ref-Hirsch15">
        <w:r>
          <w:rPr>
            <w:rStyle w:val="Hyperlink"/>
          </w:rPr>
          <w:t xml:space="preserve">Hirsch et al., 2015</w:t>
        </w:r>
      </w:hyperlink>
      <w:r>
        <w:t xml:space="preserve">)</w:t>
      </w:r>
      <w:r>
        <w:t xml:space="preserve">. Although a useful addition to the original method</w:t>
      </w:r>
      <w:r>
        <w:t xml:space="preserve"> </w:t>
      </w:r>
      <w:r>
        <w:t xml:space="preserve">(</w:t>
      </w:r>
      <w:hyperlink w:anchor="ref-Hirsch10">
        <w:r>
          <w:rPr>
            <w:rStyle w:val="Hyperlink"/>
          </w:rPr>
          <w:t xml:space="preserve">Hirsch et al., 2010</w:t>
        </w:r>
      </w:hyperlink>
      <w:r>
        <w:t xml:space="preserve">)</w:t>
      </w:r>
      <w:r>
        <w:t xml:space="preserve">, the approach requires extensive resampling using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the fourth method to separate fluctuations on different time scales. GAMs combine one or more smoothing splines to model patterns in data and may be seen as generalizing the concepts behind STL and WRTDS</w:t>
      </w:r>
      <w:r>
        <w:t xml:space="preserve"> </w:t>
      </w:r>
      <w:r>
        <w:t xml:space="preserve">(</w:t>
      </w:r>
      <w:hyperlink w:anchor="ref-Haraguchi15">
        <w:r>
          <w:rPr>
            <w:rStyle w:val="Hyperlink"/>
          </w:rPr>
          <w:t xml:space="preserve">Haraguchi et al., 2015</w:t>
        </w:r>
      </w:hyperlink>
      <w:r>
        <w:t xml:space="preserve">;</w:t>
      </w:r>
      <w:r>
        <w:t xml:space="preserve"> </w:t>
      </w:r>
      <w:hyperlink w:anchor="ref-He06">
        <w:r>
          <w:rPr>
            <w:rStyle w:val="Hyperlink"/>
          </w:rPr>
          <w:t xml:space="preserve">He et al., 2006</w:t>
        </w:r>
      </w:hyperlink>
      <w:r>
        <w:t xml:space="preserve">;</w:t>
      </w:r>
      <w:r>
        <w:t xml:space="preserve"> </w:t>
      </w:r>
      <w:hyperlink w:anchor="ref-Morton08">
        <w:r>
          <w:rPr>
            <w:rStyle w:val="Hyperlink"/>
          </w:rPr>
          <w:t xml:space="preserve">Morton and Henderson, 2008</w:t>
        </w:r>
      </w:hyperlink>
      <w:r>
        <w:t xml:space="preserve">;</w:t>
      </w:r>
      <w:r>
        <w:t xml:space="preserve"> </w:t>
      </w:r>
      <w:hyperlink w:anchor="ref-Murphy19">
        <w:r>
          <w:rPr>
            <w:rStyle w:val="Hyperlink"/>
          </w:rPr>
          <w:t xml:space="preserve">Murphy et al., 2019</w:t>
        </w:r>
      </w:hyperlink>
      <w:r>
        <w:t xml:space="preserve">;</w:t>
      </w:r>
      <w:r>
        <w:t xml:space="preserve"> </w:t>
      </w:r>
      <w:hyperlink w:anchor="ref-Pearce11">
        <w:r>
          <w:rPr>
            <w:rStyle w:val="Hyperlink"/>
          </w:rPr>
          <w:t xml:space="preserve">Pearce et al., 2011</w:t>
        </w:r>
      </w:hyperlink>
      <w:r>
        <w:t xml:space="preserve">)</w:t>
      </w:r>
      <w:r>
        <w:t xml:space="preserve">. The basis functions used to formulate GAMs can be customized based on expected patterns in the data. One example includes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optimization of out-of-sample prediction error, which addresses a key concern around methods like WRTDS that do not have analogs for choosing optimal degrees of smoothing. GAMs can also produce comparable results similar to those provided by WRTDS</w:t>
      </w:r>
      <w:r>
        <w:t xml:space="preserve"> </w:t>
      </w:r>
      <w:r>
        <w:t xml:space="preserve">(</w:t>
      </w:r>
      <w:hyperlink w:anchor="ref-Beck17">
        <w:r>
          <w:rPr>
            <w:rStyle w:val="Hyperlink"/>
          </w:rPr>
          <w:t xml:space="preserve">Beck and Murphy, 2017</w:t>
        </w:r>
      </w:hyperlink>
      <w:r>
        <w:t xml:space="preserve">)</w:t>
      </w:r>
      <w:r>
        <w:t xml:space="preserve"> </w:t>
      </w:r>
      <w:r>
        <w:t xml:space="preserve">and have readily obtainable uncertainty estimates. Further, GAMs have natural frequentist and Bayesian interpretations, are naturally extensible to include random effects (i.e., generalized additive mixed models or GAMMs), and have computationally efficient implementations</w:t>
      </w:r>
      <w:r>
        <w:t xml:space="preserve"> </w:t>
      </w:r>
      <w:r>
        <w:t xml:space="preserve">(</w:t>
      </w:r>
      <w:hyperlink w:anchor="ref-Wood17">
        <w:r>
          <w:rPr>
            <w:rStyle w:val="Hyperlink"/>
          </w:rPr>
          <w:t xml:space="preserve">Wood, 2017</w:t>
        </w:r>
      </w:hyperlink>
      <w:r>
        <w:t xml:space="preserve">)</w:t>
      </w:r>
      <w:r>
        <w:t xml:space="preserve">.</w:t>
      </w:r>
    </w:p>
    <w:p>
      <w:pPr>
        <w:pStyle w:val="BodyText"/>
      </w:pPr>
      <w:r>
        <w:t xml:space="preserve">GAMs have been applied previously to evaluate trends in water quality time series from long-term monitoring programs</w:t>
      </w:r>
      <w:r>
        <w:t xml:space="preserve"> </w:t>
      </w:r>
      <w:r>
        <w:t xml:space="preserve">(</w:t>
      </w:r>
      <w:hyperlink w:anchor="ref-Haraguchi15">
        <w:r>
          <w:rPr>
            <w:rStyle w:val="Hyperlink"/>
          </w:rPr>
          <w:t xml:space="preserve">Haraguchi et al., 2015</w:t>
        </w:r>
      </w:hyperlink>
      <w:r>
        <w:t xml:space="preserve">;</w:t>
      </w:r>
      <w:r>
        <w:t xml:space="preserve"> </w:t>
      </w:r>
      <w:hyperlink w:anchor="ref-Murphy19">
        <w:r>
          <w:rPr>
            <w:rStyle w:val="Hyperlink"/>
          </w:rPr>
          <w:t xml:space="preserve">Murphy et al., 2019</w:t>
        </w:r>
      </w:hyperlink>
      <w:r>
        <w:t xml:space="preserve">)</w:t>
      </w:r>
      <w:r>
        <w:t xml:space="preserve">. For example,</w:t>
      </w:r>
      <w:r>
        <w:t xml:space="preserve"> </w:t>
      </w:r>
      <w:hyperlink w:anchor="ref-Murphy19">
        <w:r>
          <w:rPr>
            <w:rStyle w:val="Hyperlink"/>
          </w:rPr>
          <w:t xml:space="preserve">Murphy et al.</w:t>
        </w:r>
      </w:hyperlink>
      <w:r>
        <w:t xml:space="preserve"> </w:t>
      </w:r>
      <w:r>
        <w:t xml:space="preserve">(</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w:t>
      </w:r>
      <w:hyperlink w:anchor="ref-Murphy19">
        <w:r>
          <w:rPr>
            <w:rStyle w:val="Hyperlink"/>
          </w:rPr>
          <w:t xml:space="preserve">Murphy et al., 2019</w:t>
        </w:r>
      </w:hyperlink>
      <w:r>
        <w:t xml:space="preserve">)</w:t>
      </w:r>
      <w:r>
        <w:t xml:space="preserve"> </w:t>
      </w:r>
      <w:r>
        <w:t xml:space="preserve">and test trend hypotheses between two points in time. Other studies of environmental time series with GAMs have addressed the use of transformed response data</w:t>
      </w:r>
      <w:r>
        <w:t xml:space="preserve"> </w:t>
      </w:r>
      <w:r>
        <w:t xml:space="preserve">(</w:t>
      </w:r>
      <w:hyperlink w:anchor="ref-Yang20">
        <w:r>
          <w:rPr>
            <w:rStyle w:val="Hyperlink"/>
          </w:rPr>
          <w:t xml:space="preserve">Yang and Moyer, 2020</w:t>
        </w:r>
      </w:hyperlink>
      <w:r>
        <w:t xml:space="preserve">)</w:t>
      </w:r>
      <w:r>
        <w:t xml:space="preserve">, serial correlation in high resolution data</w:t>
      </w:r>
      <w:r>
        <w:t xml:space="preserve"> </w:t>
      </w:r>
      <w:r>
        <w:t xml:space="preserve">(</w:t>
      </w:r>
      <w:hyperlink w:anchor="ref-Morton08">
        <w:r>
          <w:rPr>
            <w:rStyle w:val="Hyperlink"/>
          </w:rPr>
          <w:t xml:space="preserve">Morton and Henderson, 2008</w:t>
        </w:r>
      </w:hyperlink>
      <w:r>
        <w:t xml:space="preserve">;</w:t>
      </w:r>
      <w:r>
        <w:t xml:space="preserve"> </w:t>
      </w:r>
      <w:hyperlink w:anchor="ref-Yang20">
        <w:r>
          <w:rPr>
            <w:rStyle w:val="Hyperlink"/>
          </w:rPr>
          <w:t xml:space="preserve">Yang and Moyer, 2020</w:t>
        </w:r>
      </w:hyperlink>
      <w:r>
        <w:t xml:space="preserve">)</w:t>
      </w:r>
      <w:r>
        <w:t xml:space="preserve">, and quantifying time lags in relationships between response and predictor variables</w:t>
      </w:r>
      <w:r>
        <w:t xml:space="preserve"> </w:t>
      </w:r>
      <w:r>
        <w:t xml:space="preserve">(</w:t>
      </w:r>
      <w:hyperlink w:anchor="ref-Lefcheck17">
        <w:r>
          <w:rPr>
            <w:rStyle w:val="Hyperlink"/>
          </w:rPr>
          <w:t xml:space="preserve">Lefcheck et al., 2017</w:t>
        </w:r>
      </w:hyperlink>
      <w:r>
        <w:t xml:space="preserve">)</w:t>
      </w:r>
      <w:r>
        <w:t xml:space="preserve">. The study herein generalizes the approach to analyzing trends of seasonal spline features, describes the relationships among alternative spline formulations when spline flexibility is allowed to vary</w:t>
      </w:r>
      <w:r>
        <w:t xml:space="preserve"> </w:t>
      </w:r>
      <w:r>
        <w:t xml:space="preserve">(</w:t>
      </w:r>
      <w:hyperlink w:anchor="ref-Wood17">
        <w:r>
          <w:rPr>
            <w:rStyle w:val="Hyperlink"/>
          </w:rPr>
          <w:t xml:space="preserve">Wood, 2017</w:t>
        </w:r>
      </w:hyperlink>
      <w:r>
        <w:t xml:space="preserve">,</w:t>
      </w:r>
      <w:r>
        <w:t xml:space="preserve"> </w:t>
      </w:r>
      <w:hyperlink w:anchor="ref-Wood03">
        <w:r>
          <w:rPr>
            <w:rStyle w:val="Hyperlink"/>
          </w:rPr>
          <w:t xml:space="preserve">2003</w:t>
        </w:r>
      </w:hyperlink>
      <w:r>
        <w:t xml:space="preserve">)</w:t>
      </w:r>
      <w:r>
        <w:t xml:space="preserve"> </w:t>
      </w:r>
      <w:r>
        <w:t xml:space="preserve">rather than being constrained</w:t>
      </w:r>
      <w:r>
        <w:t xml:space="preserve"> </w:t>
      </w:r>
      <w:r>
        <w:rPr>
          <w:iCs/>
          <w:i/>
        </w:rPr>
        <w:t xml:space="preserve">a priori</w:t>
      </w:r>
      <w:r>
        <w:t xml:space="preserve"> </w:t>
      </w:r>
      <w:r>
        <w:t xml:space="preserve">for different time scales, and prioritizes full incorporation of uncertainty.</w:t>
      </w:r>
    </w:p>
    <w:p>
      <w:pPr>
        <w:pStyle w:val="BodyText"/>
      </w:pPr>
      <w:r>
        <w:t xml:space="preserve">Our motivating problem has several characteristics that are only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in time series data. This paper develops the use of GAMs with mixed-effects meta-analysis</w:t>
      </w:r>
      <w:r>
        <w:t xml:space="preserve"> </w:t>
      </w:r>
      <w:r>
        <w:t xml:space="preserve">(</w:t>
      </w:r>
      <w:hyperlink w:anchor="ref-Gasparrini12">
        <w:r>
          <w:rPr>
            <w:rStyle w:val="Hyperlink"/>
          </w:rPr>
          <w:t xml:space="preserve">Gasparrini et al., 2012</w:t>
        </w:r>
      </w:hyperlink>
      <w:r>
        <w:t xml:space="preserve">;</w:t>
      </w:r>
      <w:r>
        <w:t xml:space="preserve"> </w:t>
      </w:r>
      <w:hyperlink w:anchor="ref-Sera19">
        <w:r>
          <w:rPr>
            <w:rStyle w:val="Hyperlink"/>
          </w:rPr>
          <w:t xml:space="preserve">Sera et al., 2019</w:t>
        </w:r>
      </w:hyperlink>
      <w:r>
        <w:t xml:space="preserve">)</w:t>
      </w:r>
      <w:r>
        <w:t xml:space="preserve"> </w:t>
      </w:r>
      <w:r>
        <w:t xml:space="preserve">to address multi-scale trend analysis questions for which seasonal Kendall tests and the more complex STL and WRTDS methods are not well-suited. Herein,</w:t>
      </w:r>
      <w:r>
        <w:t xml:space="preserve"> </w:t>
      </w:r>
      <w:r>
        <w:t xml:space="preserve">“</w:t>
      </w:r>
      <w:r>
        <w:t xml:space="preserve">meta-analysis</w:t>
      </w:r>
      <w:r>
        <w:t xml:space="preserve">”</w:t>
      </w:r>
      <w:r>
        <w:t xml:space="preserve"> </w:t>
      </w:r>
      <w:r>
        <w:t xml:space="preserve">refers to the use of seasonal features and their uncertainty estimates for trend analysis, as compared to meta-analysis for the aggregation of results from multiple studies for analysis of effect sizes or other synthesis results</w:t>
      </w:r>
      <w:r>
        <w:t xml:space="preserve"> </w:t>
      </w:r>
      <w:r>
        <w:t xml:space="preserve">(i.e.,</w:t>
      </w:r>
      <w:r>
        <w:t xml:space="preserve"> </w:t>
      </w:r>
      <w:hyperlink w:anchor="ref-Lortie14">
        <w:r>
          <w:rPr>
            <w:rStyle w:val="Hyperlink"/>
          </w:rPr>
          <w:t xml:space="preserve">Lortie, 2014</w:t>
        </w:r>
      </w:hyperlink>
      <w:r>
        <w:t xml:space="preserve">)</w:t>
      </w:r>
      <w:r>
        <w:t xml:space="preserve">.</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Is there a spatial difference in chlorophyll trends? We provide examples illustrating how these questions can be addressed using GAMs to estimate seasonal trends and evaluated between years using meta-analysis methods. This approach is new to environmental trend-detection problems and is provided in the</w:t>
      </w:r>
      <w:r>
        <w:t xml:space="preserve"> </w:t>
      </w:r>
      <w:r>
        <w:rPr>
          <w:iCs/>
          <w:i/>
        </w:rPr>
        <w:t xml:space="preserve">wqtrends</w:t>
      </w:r>
      <w:r>
        <w:t xml:space="preserve"> </w:t>
      </w:r>
      <w:r>
        <w:t xml:space="preserve">R package developed by the authors</w:t>
      </w:r>
      <w:r>
        <w:t xml:space="preserve"> </w:t>
      </w:r>
      <w:r>
        <w:t xml:space="preserve">(</w:t>
      </w:r>
      <w:hyperlink w:anchor="ref-Beck21">
        <w:r>
          <w:rPr>
            <w:rStyle w:val="Hyperlink"/>
          </w:rPr>
          <w:t xml:space="preserve">Beck et al., 2021</w:t>
        </w:r>
      </w:hyperlink>
      <w:r>
        <w:t xml:space="preserve">, available at</w:t>
      </w:r>
      <w:r>
        <w:t xml:space="preserve"> </w:t>
      </w:r>
      <w:hyperlink r:id="rId28">
        <w:r>
          <w:rPr>
            <w:rStyle w:val="Hyperlink"/>
          </w:rPr>
          <w:t xml:space="preserve">https://tbep-tech.github.io/wqtrends</w:t>
        </w:r>
      </w:hyperlink>
      <w:r>
        <w:t xml:space="preserve">, including an online dashboard for viewing results at</w:t>
      </w:r>
      <w:r>
        <w:t xml:space="preserve"> </w:t>
      </w:r>
      <w:hyperlink r:id="rId29">
        <w:r>
          <w:rPr>
            <w:rStyle w:val="Hyperlink"/>
          </w:rPr>
          <w:t xml:space="preserve">https://nutrient-data.sfei.org/apps/SFbaytrends/</w:t>
        </w:r>
      </w:hyperlink>
      <w:r>
        <w:t xml:space="preserve">)</w:t>
      </w:r>
      <w:r>
        <w:t xml:space="preserve">.</w:t>
      </w:r>
    </w:p>
    <w:bookmarkEnd w:id="30"/>
    <w:bookmarkStart w:id="37" w:name="methods"/>
    <w:p>
      <w:pPr>
        <w:pStyle w:val="Heading1"/>
      </w:pPr>
      <w:r>
        <w:t xml:space="preserve">Methods</w:t>
      </w:r>
    </w:p>
    <w:bookmarkStart w:id="31" w:name="study-area-and-data-sources"/>
    <w:p>
      <w:pPr>
        <w:pStyle w:val="Heading2"/>
      </w:pPr>
      <w:r>
        <w:t xml:space="preserve">Study area and data sources</w:t>
      </w:r>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Salinity ranges from 0 to 15 ppt in the northern subembayments and from 5 to 35 ppt in southern subembayments closer to the Pacific Ocean, depending on the tidal cycle, effluent discharge from wastewater treatment plants, and stormwater runoff</w:t>
      </w:r>
      <w:r>
        <w:t xml:space="preserve"> </w:t>
      </w:r>
      <w:r>
        <w:t xml:space="preserve">(</w:t>
      </w:r>
      <w:hyperlink w:anchor="ref-Cloern12">
        <w:r>
          <w:rPr>
            <w:rStyle w:val="Hyperlink"/>
          </w:rPr>
          <w:t xml:space="preserve">Cloern and Jassby, 2012</w:t>
        </w:r>
      </w:hyperlink>
      <w:r>
        <w:t xml:space="preserve">)</w:t>
      </w:r>
      <w:r>
        <w:t xml:space="preserve">. An estimated 73.8 metric tons dy</w:t>
      </w:r>
      <m:oMath>
        <m:sSup>
          <m:e>
            <m:r>
              <m:t>​</m:t>
            </m:r>
          </m:e>
          <m:sup>
            <m:r>
              <m:rPr>
                <m:sty m:val="p"/>
              </m:rPr>
              <m:t>−</m:t>
            </m:r>
            <m:r>
              <m:t>1</m:t>
            </m:r>
          </m:sup>
        </m:sSup>
      </m:oMath>
      <w:r>
        <w:t xml:space="preserve"> </w:t>
      </w:r>
      <w:r>
        <w:t xml:space="preserve">of inorganic nitrogen are discharged into the Bay, primarily from wastewater</w:t>
      </w:r>
      <w:r>
        <w:t xml:space="preserve"> </w:t>
      </w:r>
      <w:r>
        <w:t xml:space="preserve">(</w:t>
      </w:r>
      <w:hyperlink w:anchor="ref-Novick14">
        <w:r>
          <w:rPr>
            <w:rStyle w:val="Hyperlink"/>
          </w:rPr>
          <w:t xml:space="preserve">Novick and Senn, 2014</w:t>
        </w:r>
      </w:hyperlink>
      <w:r>
        <w:t xml:space="preserve">)</w:t>
      </w:r>
      <w:r>
        <w:t xml:space="preserve">. Agricultural runoff from the upper watershed contributes 30 metric tons dy</w:t>
      </w:r>
      <m:oMath>
        <m:sSup>
          <m:e>
            <m:r>
              <m:t>​</m:t>
            </m:r>
          </m:e>
          <m:sup>
            <m:r>
              <m:rPr>
                <m:sty m:val="p"/>
              </m:rPr>
              <m:t>−</m:t>
            </m:r>
            <m:r>
              <m:t>1</m:t>
            </m:r>
          </m:sup>
        </m:sSup>
      </m:oMath>
      <w:r>
        <w:t xml:space="preserve"> </w:t>
      </w:r>
      <w:r>
        <w:t xml:space="preserve">of nitrogen to the SFE via the Delta.</w:t>
      </w:r>
    </w:p>
    <w:p>
      <w:pPr>
        <w:pStyle w:val="BodyText"/>
      </w:pPr>
      <w:r>
        <w:t xml:space="preserve">Nitrogen and phosphorus levels in the SFE usually exceed concentrations that cause eutrophication in other estuaries. However, the SFE has demonstrated resistance to eutrophication, which has been attributed to high concentrations of suspended sediment that reduce light penetration in the water column, low residence time caused by vigorous river flushing, and removal of primary producers by abundant suspension feeding bivalves</w:t>
      </w:r>
      <w:r>
        <w:t xml:space="preserve"> </w:t>
      </w:r>
      <w:r>
        <w:t xml:space="preserve">(</w:t>
      </w:r>
      <w:hyperlink w:anchor="ref-Alpine88">
        <w:r>
          <w:rPr>
            <w:rStyle w:val="Hyperlink"/>
          </w:rPr>
          <w:t xml:space="preserve">Alpine and Cloern, 1988</w:t>
        </w:r>
      </w:hyperlink>
      <w:r>
        <w:t xml:space="preserve">;</w:t>
      </w:r>
      <w:r>
        <w:t xml:space="preserve"> </w:t>
      </w:r>
      <w:hyperlink w:anchor="ref-Cole84">
        <w:r>
          <w:rPr>
            <w:rStyle w:val="Hyperlink"/>
          </w:rPr>
          <w:t xml:space="preserve">Cole and Cloern, 1984</w:t>
        </w:r>
      </w:hyperlink>
      <w:r>
        <w:t xml:space="preserve">;</w:t>
      </w:r>
      <w:r>
        <w:t xml:space="preserve"> </w:t>
      </w:r>
      <w:hyperlink w:anchor="ref-Jassby08">
        <w:r>
          <w:rPr>
            <w:rStyle w:val="Hyperlink"/>
          </w:rPr>
          <w:t xml:space="preserve">Jassby, 2008</w:t>
        </w:r>
      </w:hyperlink>
      <w:r>
        <w:t xml:space="preserve">;</w:t>
      </w:r>
      <w:r>
        <w:t xml:space="preserve"> </w:t>
      </w:r>
      <w:hyperlink w:anchor="ref-Kimmerer14">
        <w:r>
          <w:rPr>
            <w:rStyle w:val="Hyperlink"/>
          </w:rPr>
          <w:t xml:space="preserve">Kimmerer and Thompson, 2014</w:t>
        </w:r>
      </w:hyperlink>
      <w:r>
        <w:t xml:space="preserve">;</w:t>
      </w:r>
      <w:r>
        <w:t xml:space="preserve"> </w:t>
      </w:r>
      <w:hyperlink w:anchor="ref-Lehman17">
        <w:r>
          <w:rPr>
            <w:rStyle w:val="Hyperlink"/>
          </w:rPr>
          <w:t xml:space="preserve">Lehman et al., 2017</w:t>
        </w:r>
      </w:hyperlink>
      <w:r>
        <w:t xml:space="preserve">)</w:t>
      </w:r>
      <w:r>
        <w:t xml:space="preserve">. The Regional Water Quality Control Board has showed renewed interest in understanding the potential for nutrient loading to negatively affect water quality for more southern areas of the SFE where harmful algal blooms, elevated summer-fall chlorophyll concentrations, and low dissolved oxygen concentrations began around 1999 (Figure</w:t>
      </w:r>
      <w:r>
        <w:t xml:space="preserve"> </w:t>
      </w:r>
      <w:r>
        <w:t xml:space="preserve">1</w:t>
      </w:r>
      <w:r>
        <w:t xml:space="preserve">)</w:t>
      </w:r>
      <w:r>
        <w:t xml:space="preserve"> </w:t>
      </w:r>
      <w:r>
        <w:t xml:space="preserve">(</w:t>
      </w:r>
      <w:hyperlink w:anchor="ref-Cloern20">
        <w:r>
          <w:rPr>
            <w:rStyle w:val="Hyperlink"/>
          </w:rPr>
          <w:t xml:space="preserve">Cloern et al., 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w:t>
      </w:r>
      <w:hyperlink w:anchor="ref-Cloern16">
        <w:r>
          <w:rPr>
            <w:rStyle w:val="Hyperlink"/>
          </w:rPr>
          <w:t xml:space="preserve">Cloern and Schraga, 2016</w:t>
        </w:r>
      </w:hyperlink>
      <w:r>
        <w:t xml:space="preserve">;</w:t>
      </w:r>
      <w:r>
        <w:t xml:space="preserve"> </w:t>
      </w:r>
      <w:hyperlink w:anchor="ref-Schraga20">
        <w:r>
          <w:rPr>
            <w:rStyle w:val="Hyperlink"/>
          </w:rPr>
          <w:t xml:space="preserve">Schraga et al., 2020</w:t>
        </w:r>
      </w:hyperlink>
      <w:r>
        <w:t xml:space="preserve">)</w:t>
      </w:r>
      <w:r>
        <w:t xml:space="preserve">. Sampling frequency varied somewhat over time and by station. Approximate monthly or biweekly sampling with coverage of at least a decade is common for many long-term monitoring programs and is the intended use case for the methods herein. Every observation was included directly in the statistical models without spatial or temporal binning or averaging. Log</w:t>
      </w:r>
      <m:oMath>
        <m:sSub>
          <m:e>
            <m:r>
              <m:t>​</m:t>
            </m:r>
          </m:e>
          <m:sub>
            <m:r>
              <m:t>10</m:t>
            </m:r>
          </m:sub>
        </m:sSub>
      </m:oMath>
      <w:r>
        <w:t xml:space="preserve">-transformed chl-a was used for all analyses to meet assumptions of normally-distributed residuals. Methods for back-transformation of model results are provided in the supplement.</w:t>
      </w:r>
    </w:p>
    <w:bookmarkEnd w:id="31"/>
    <w:bookmarkStart w:id="36" w:name="gams-with-uncertainty-propagation"/>
    <w:p>
      <w:pPr>
        <w:pStyle w:val="Heading2"/>
      </w:pPr>
      <w:r>
        <w:t xml:space="preserve">GAMs with uncertainty propagation</w:t>
      </w:r>
    </w:p>
    <w:p>
      <w:pPr>
        <w:pStyle w:val="FirstParagraph"/>
      </w:pPr>
      <w:r>
        <w:t xml:space="preserve">We implemented our analysis in three stages. First, we used a GAM to estimate a smooth temporal pattern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w:t>
      </w:r>
      <w:hyperlink w:anchor="ref-Gasparrini12">
        <w:r>
          <w:rPr>
            <w:rStyle w:val="Hyperlink"/>
          </w:rPr>
          <w:t xml:space="preserve">Gasparrini et al., 2012</w:t>
        </w:r>
      </w:hyperlink>
      <w:r>
        <w:t xml:space="preserve">;</w:t>
      </w:r>
      <w:r>
        <w:t xml:space="preserve"> </w:t>
      </w:r>
      <w:hyperlink w:anchor="ref-Sera19">
        <w:r>
          <w:rPr>
            <w:rStyle w:val="Hyperlink"/>
          </w:rPr>
          <w:t xml:space="preserve">Sera et al., 2019</w:t>
        </w:r>
      </w:hyperlink>
      <w:r>
        <w:t xml:space="preserve">)</w:t>
      </w:r>
      <w:r>
        <w:t xml:space="preserve">. Meta-analysis uses response data that includes standard errors (uncertainties) as needed to address our questions.</w:t>
      </w:r>
    </w:p>
    <w:bookmarkStart w:id="32" w:name="first-stage-analysis-gam-estimation"/>
    <w:p>
      <w:pPr>
        <w:pStyle w:val="Heading3"/>
      </w:pPr>
      <w:r>
        <w:t xml:space="preserve">First-stage analysis: GAM estimation</w:t>
      </w:r>
    </w:p>
    <w:p>
      <w:pPr>
        <w:pStyle w:val="FirstParagraph"/>
      </w:pPr>
      <w:r>
        <w:t xml:space="preserve">We considered four different GAMs to smooth the raw data across time. Although they can achieve similar fits, they do so by partitioning variation in the time series differently (Table</w:t>
      </w:r>
      <w:r>
        <w:t xml:space="preserve"> </w:t>
      </w:r>
      <w:r>
        <w:t xml:space="preserve">2</w:t>
      </w:r>
      <w:r>
        <w:t xml:space="preserve">). We discuss all four to clarify their relationships and interpretations. All models were created using the</w:t>
      </w:r>
      <w:r>
        <w:t xml:space="preserve"> </w:t>
      </w:r>
      <w:r>
        <w:rPr>
          <w:rStyle w:val="VerbatimChar"/>
        </w:rPr>
        <w:t xml:space="preserve">mgcv</w:t>
      </w:r>
      <w:r>
        <w:t xml:space="preserve"> </w:t>
      </w:r>
      <w:r>
        <w:t xml:space="preserve">R package</w:t>
      </w:r>
      <w:r>
        <w:t xml:space="preserve"> </w:t>
      </w:r>
      <w:r>
        <w:t xml:space="preserve">(</w:t>
      </w:r>
      <w:hyperlink w:anchor="ref-RCT20">
        <w:r>
          <w:rPr>
            <w:rStyle w:val="Hyperlink"/>
          </w:rPr>
          <w:t xml:space="preserve">R Core Team, 2020</w:t>
        </w:r>
      </w:hyperlink>
      <w:r>
        <w:t xml:space="preserve">;</w:t>
      </w:r>
      <w:r>
        <w:t xml:space="preserve"> </w:t>
      </w:r>
      <w:hyperlink w:anchor="ref-Wood17">
        <w:r>
          <w:rPr>
            <w:rStyle w:val="Hyperlink"/>
          </w:rPr>
          <w:t xml:space="preserve">Wood, 2017</w:t>
        </w:r>
      </w:hyperlink>
      <w:r>
        <w:t xml:space="preserve">)</w:t>
      </w:r>
      <w:r>
        <w:t xml:space="preserve">, with utility functions included in the</w:t>
      </w:r>
      <w:r>
        <w:t xml:space="preserve"> </w:t>
      </w:r>
      <w:r>
        <w:rPr>
          <w:rStyle w:val="VerbatimChar"/>
        </w:rPr>
        <w:t xml:space="preserve">wqtrends</w:t>
      </w:r>
      <w:r>
        <w:t xml:space="preserve"> </w:t>
      </w:r>
      <w:r>
        <w:t xml:space="preserve">package created by the authors</w:t>
      </w:r>
      <w:r>
        <w:t xml:space="preserve"> </w:t>
      </w:r>
      <w:r>
        <w:t xml:space="preserve">(</w:t>
      </w:r>
      <w:hyperlink w:anchor="ref-Beck21">
        <w:r>
          <w:rPr>
            <w:rStyle w:val="Hyperlink"/>
          </w:rPr>
          <w:t xml:space="preserve">Beck et al., 2021</w:t>
        </w:r>
      </w:hyperlink>
      <w:r>
        <w:t xml:space="preserve">)</w:t>
      </w:r>
      <w:r>
        <w:t xml:space="preserve">.</w:t>
      </w:r>
    </w:p>
    <w:p>
      <w:pPr>
        <w:pStyle w:val="BodyText"/>
      </w:pPr>
      <w:r>
        <w:t xml:space="preserve">The simplest GAM for this purpose is expressed as:</w:t>
      </w:r>
    </w:p>
    <w:p>
      <w:pPr>
        <w:pStyle w:val="BodyText"/>
      </w:pPr>
      <m:oMathPara>
        <m:oMathParaPr>
          <m:jc m:val="center"/>
        </m:oMathParaPr>
        <m:oMath>
          <m:r>
            <m:rPr>
              <m:nor/>
              <m:sty m:val="p"/>
            </m:rPr>
            <m:t>Model S:</m:t>
          </m:r>
          <m:sSub>
            <m:e>
              <m:r>
                <m:t>y</m:t>
              </m:r>
            </m:e>
            <m:sub>
              <m:r>
                <m:t>i</m:t>
              </m:r>
            </m:sub>
          </m:sSub>
          <m:r>
            <m:rPr>
              <m:sty m:val="p"/>
            </m:rPr>
            <m:t>∼</m:t>
          </m:r>
          <m:r>
            <m:t> </m:t>
          </m:r>
          <m:sSub>
            <m:e>
              <m:r>
                <m:t>β</m:t>
              </m:r>
            </m:e>
            <m:sub>
              <m:r>
                <m:t>0</m:t>
              </m:r>
            </m:sub>
          </m:sSub>
          <m:r>
            <m:rPr>
              <m:sty m:val="p"/>
            </m:rPr>
            <m:t>+</m:t>
          </m:r>
          <m:sSub>
            <m:e>
              <m:r>
                <m:t>f</m:t>
              </m:r>
            </m:e>
            <m:sub>
              <m:r>
                <m:t>1</m:t>
              </m:r>
            </m:sub>
          </m:sSub>
          <m:d>
            <m:dPr>
              <m:begChr m:val="("/>
              <m:endChr m:val=")"/>
              <m:grow/>
            </m:dPr>
            <m:e>
              <m:r>
                <m:t>c</m:t>
              </m:r>
              <m:r>
                <m:t>o</m:t>
              </m:r>
              <m:r>
                <m:t>n</m:t>
              </m:r>
              <m:r>
                <m:t>t</m:t>
              </m:r>
              <m:r>
                <m:rPr>
                  <m:sty m:val="p"/>
                </m:rPr>
                <m:t>_</m:t>
              </m:r>
              <m:r>
                <m:t>y</m:t>
              </m:r>
              <m:r>
                <m:t>e</m:t>
              </m:r>
              <m:r>
                <m:t>a</m:t>
              </m:r>
              <m:sSub>
                <m:e>
                  <m:r>
                    <m:t>r</m:t>
                  </m:r>
                </m:e>
                <m:sub>
                  <m:r>
                    <m:t>i</m:t>
                  </m:r>
                </m:sub>
              </m:sSub>
            </m:e>
          </m:d>
          <m:r>
            <m:rPr>
              <m:sty m:val="p"/>
            </m:rPr>
            <m:t>+</m:t>
          </m:r>
          <m:sSub>
            <m:e>
              <m:r>
                <m:t>ϵ</m:t>
              </m:r>
            </m:e>
            <m:sub>
              <m:r>
                <m:t>i</m:t>
              </m:r>
            </m:sub>
          </m:sSub>
          <m:r>
            <m:t>  </m:t>
          </m:r>
          <m:r>
            <m:rPr>
              <m:sty m:val="p"/>
            </m:rPr>
            <m:t>(</m:t>
          </m:r>
          <m:r>
            <m:t>1</m:t>
          </m:r>
          <m:r>
            <m:rPr>
              <m:sty m:val="p"/>
            </m:rPr>
            <m:t>)</m:t>
          </m:r>
        </m:oMath>
      </m:oMathPara>
    </w:p>
    <w:p>
      <w:pPr>
        <w:pStyle w:val="FirstParagraph"/>
      </w:pPr>
      <w:r>
        <w:t xml:space="preserve">where</w:t>
      </w:r>
      <w:r>
        <w:t xml:space="preserve"> </w:t>
      </w:r>
      <w:r>
        <w:rPr>
          <w:rStyle w:val="VerbatimChar"/>
        </w:rPr>
        <w:t xml:space="preserve">y</w:t>
      </w:r>
      <w:r>
        <w:t xml:space="preserve"> </w:t>
      </w:r>
      <w:r>
        <w:t xml:space="preserve">is the time series of interest, such as chl-a, for observation</w:t>
      </w:r>
      <w:r>
        <w:t xml:space="preserve"> </w:t>
      </w:r>
      <m:oMath>
        <m:r>
          <m:t>i</m:t>
        </m:r>
      </m:oMath>
      <w:r>
        <w:t xml:space="preserve"> </w:t>
      </w:r>
      <w:r>
        <w:t xml:space="preserve">explained by an intercept-term</w:t>
      </w:r>
      <w:r>
        <w:t xml:space="preserve"> </w:t>
      </w:r>
      <m:oMath>
        <m:sSub>
          <m:e>
            <m:r>
              <m:t>β</m:t>
            </m:r>
          </m:e>
          <m:sub>
            <m:r>
              <m:t>0</m:t>
            </m:r>
          </m:sub>
        </m:sSub>
      </m:oMath>
      <w:r>
        <w:t xml:space="preserve"> </w:t>
      </w:r>
      <w:r>
        <w:t xml:space="preserve">and a smooth function</w:t>
      </w:r>
      <w:r>
        <w:t xml:space="preserve"> </w:t>
      </w:r>
      <m:oMath>
        <m:sSub>
          <m:e>
            <m:r>
              <m:t>f</m:t>
            </m:r>
          </m:e>
          <m:sub>
            <m:r>
              <m:t>1</m:t>
            </m:r>
          </m:sub>
        </m:sSub>
        <m:r>
          <m:rPr>
            <m:sty m:val="p"/>
          </m:rPr>
          <m:t>(</m:t>
        </m:r>
        <m:r>
          <m:rPr>
            <m:sty m:val="p"/>
          </m:rPr>
          <m:t>)</m:t>
        </m:r>
      </m:oMath>
      <w:r>
        <w:t xml:space="preserve"> </w:t>
      </w:r>
      <w:r>
        <w:t xml:space="preserve">for</w:t>
      </w:r>
      <w:r>
        <w:t xml:space="preserve"> </w:t>
      </w:r>
      <w:r>
        <w:rPr>
          <w:rStyle w:val="VerbatimChar"/>
        </w:rPr>
        <w:t xml:space="preserve">cont_year</w:t>
      </w:r>
      <w:r>
        <w:t xml:space="preserve"> </w:t>
      </w:r>
      <w:r>
        <w:t xml:space="preserve">as</w:t>
      </w:r>
      <w:r>
        <w:t xml:space="preserve"> </w:t>
      </w:r>
      <w:r>
        <w:t xml:space="preserve">“</w:t>
      </w:r>
      <w:r>
        <w:t xml:space="preserve">continuous year</w:t>
      </w:r>
      <w:r>
        <w:t xml:space="preserve">”</w:t>
      </w:r>
      <w:r>
        <w:t xml:space="preserve"> </w:t>
      </w:r>
      <w:r>
        <w:t xml:space="preserve">represented as a continuous numerical date (e.g., July 1st 2019 would be 2019.5). The</w:t>
      </w:r>
      <w:r>
        <w:t xml:space="preserve"> </w:t>
      </w:r>
      <m:oMath>
        <m:sSub>
          <m:e>
            <m:r>
              <m:t>f</m:t>
            </m:r>
          </m:e>
          <m:sub>
            <m:r>
              <m:t>1</m:t>
            </m:r>
          </m:sub>
        </m:sSub>
        <m:r>
          <m:rPr>
            <m:sty m:val="p"/>
          </m:rPr>
          <m:t>(</m:t>
        </m:r>
        <m:r>
          <m:rPr>
            <m:sty m:val="p"/>
          </m:rPr>
          <m:t>)</m:t>
        </m:r>
      </m:oMath>
      <w:r>
        <w:t xml:space="preserve"> </w:t>
      </w:r>
      <w:r>
        <w:t xml:space="preserve">function is a smoothing spline composed of the sum of multiple</w:t>
      </w:r>
      <w:r>
        <w:t xml:space="preserve"> </w:t>
      </w:r>
      <w:r>
        <w:t xml:space="preserve">“</w:t>
      </w:r>
      <w:r>
        <w:t xml:space="preserve">basis functions</w:t>
      </w:r>
      <w:r>
        <w:t xml:space="preserve">”</w:t>
      </w:r>
      <w:r>
        <w:t xml:space="preserve"> </w:t>
      </w:r>
      <w:r>
        <w:t xml:space="preserve">describing the relationship of</w:t>
      </w:r>
      <w:r>
        <w:t xml:space="preserve"> </w:t>
      </w:r>
      <m:oMath>
        <m:r>
          <m:t>c</m:t>
        </m:r>
        <m:r>
          <m:t>o</m:t>
        </m:r>
        <m:r>
          <m:t>n</m:t>
        </m:r>
        <m:r>
          <m:t>t</m:t>
        </m:r>
        <m:r>
          <m:rPr>
            <m:sty m:val="p"/>
          </m:rPr>
          <m:t>_</m:t>
        </m:r>
        <m:r>
          <m:t>y</m:t>
        </m:r>
        <m:r>
          <m:t>e</m:t>
        </m:r>
        <m:r>
          <m:t>a</m:t>
        </m:r>
        <m:r>
          <m:t>r</m:t>
        </m:r>
      </m:oMath>
      <w:r>
        <w:t xml:space="preserve"> </w:t>
      </w:r>
      <w:r>
        <w:t xml:space="preserve">with</w:t>
      </w:r>
      <w:r>
        <w:t xml:space="preserve"> </w:t>
      </w:r>
      <m:oMath>
        <m:r>
          <m:t>y</m:t>
        </m:r>
      </m:oMath>
      <w:r>
        <w:t xml:space="preserve"> </w:t>
      </w:r>
      <w:r>
        <w:t xml:space="preserve">(</w:t>
      </w:r>
      <w:hyperlink w:anchor="ref-Wood17">
        <w:r>
          <w:rPr>
            <w:rStyle w:val="Hyperlink"/>
          </w:rPr>
          <w:t xml:space="preserve">Wood, 2017</w:t>
        </w:r>
      </w:hyperlink>
      <w:r>
        <w:t xml:space="preserve">)</w:t>
      </w:r>
      <w:r>
        <w:t xml:space="preserve">. The smoothing splines includes a user-specified number of knots or</w:t>
      </w:r>
      <w:r>
        <w:t xml:space="preserve"> </w:t>
      </w:r>
      <w:r>
        <w:t xml:space="preserve">“</w:t>
      </w:r>
      <w:r>
        <w:t xml:space="preserve">connections</w:t>
      </w:r>
      <w:r>
        <w:t xml:space="preserve">”</w:t>
      </w:r>
      <w:r>
        <w:t xml:space="preserve"> </w:t>
      </w:r>
      <w:r>
        <w:t xml:space="preserve">along the spline. The</w:t>
      </w:r>
      <w:r>
        <w:t xml:space="preserve"> </w:t>
      </w:r>
      <m:oMath>
        <m:r>
          <m:t>ϵ</m:t>
        </m:r>
      </m:oMath>
      <w:r>
        <w:t xml:space="preserve"> </w:t>
      </w:r>
      <w:r>
        <w:t xml:space="preserve">term is for model errors having normal distribution with mean zero and constant variance.</w:t>
      </w:r>
    </w:p>
    <w:p>
      <w:pPr>
        <w:pStyle w:val="BodyText"/>
      </w:pPr>
      <w:r>
        <w:t xml:space="preserve">Smoothing was determined using generalized cross-validation (GCV, as implemented in</w:t>
      </w:r>
      <w:r>
        <w:t xml:space="preserve"> </w:t>
      </w:r>
      <w:r>
        <w:rPr>
          <w:rStyle w:val="VerbatimChar"/>
        </w:rPr>
        <w:t xml:space="preserve">mgcv</w:t>
      </w:r>
      <w:r>
        <w:t xml:space="preserve">), which approximately minimizes out-of-sample prediction error. GCV works by penalizing the net curvature of a spline</w:t>
      </w:r>
      <w:r>
        <w:t xml:space="preserve"> </w:t>
      </w:r>
      <w:r>
        <w:t xml:space="preserve">(</w:t>
      </w:r>
      <w:hyperlink w:anchor="ref-Wood04">
        <w:r>
          <w:rPr>
            <w:rStyle w:val="Hyperlink"/>
          </w:rPr>
          <w:t xml:space="preserve">Wood, 2004</w:t>
        </w:r>
      </w:hyperlink>
      <w:r>
        <w:t xml:space="preserve">)</w:t>
      </w:r>
      <w:r>
        <w:t xml:space="preserve">. To allow GCV (or other alternatives) to work as intended, the number of knots that determine the maximum degrees of freedom chosen by the analyst must be sufficiently large so that the curvature penalty, rather than the number of knots, determines smoothness. Results should not be sensitive to the number of knots; if they are, the number of knots should be increased. In the examples below, we chose the number of knots for</w:t>
      </w:r>
      <w:r>
        <w:t xml:space="preserve"> </w:t>
      </w:r>
      <m:oMath>
        <m:sSub>
          <m:e>
            <m:r>
              <m:t>f</m:t>
            </m:r>
          </m:e>
          <m:sub>
            <m:r>
              <m:t>1</m:t>
            </m:r>
          </m:sub>
        </m:sSub>
        <m:r>
          <m:rPr>
            <m:sty m:val="p"/>
          </m:rPr>
          <m:t>(</m:t>
        </m:r>
        <m:r>
          <m:rPr>
            <m:sty m:val="p"/>
          </m:rPr>
          <m:t>)</m:t>
        </m:r>
      </m:oMath>
      <w:r>
        <w:t xml:space="preserve"> </w:t>
      </w:r>
      <w:r>
        <w:t xml:space="preserve">as 12 times the number of years in the time series, i.e., one knot per month. If the data were too sparse to fit 12 knots per year, the number of knots was reduced by one knot per year until the model could be estimated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m:oMathPara>
        <m:oMathParaPr>
          <m:jc m:val="center"/>
        </m:oMathParaPr>
        <m:oMath>
          <m:r>
            <m:rPr>
              <m:nor/>
              <m:sty m:val="p"/>
            </m:rPr>
            <m:t>Model SY:</m:t>
          </m:r>
          <m:sSub>
            <m:e>
              <m:r>
                <m:t>y</m:t>
              </m:r>
            </m:e>
            <m:sub>
              <m:r>
                <m:t>i</m:t>
              </m:r>
            </m:sub>
          </m:sSub>
          <m:r>
            <m:rPr>
              <m:sty m:val="p"/>
            </m:rPr>
            <m:t>∼</m:t>
          </m:r>
          <m:r>
            <m:t> </m:t>
          </m:r>
          <m:sSub>
            <m:e>
              <m:r>
                <m:t>β</m:t>
              </m:r>
            </m:e>
            <m:sub>
              <m:r>
                <m:t>0</m:t>
              </m:r>
            </m:sub>
          </m:sSub>
          <m:r>
            <m:rPr>
              <m:sty m:val="p"/>
            </m:rPr>
            <m:t>+</m:t>
          </m:r>
          <m:sSub>
            <m:e>
              <m:r>
                <m:t>β</m:t>
              </m:r>
            </m:e>
            <m:sub>
              <m:r>
                <m:t>1</m:t>
              </m:r>
            </m:sub>
          </m:sSub>
          <m:d>
            <m:dPr>
              <m:begChr m:val="("/>
              <m:endChr m:val=")"/>
              <m:grow/>
            </m:dPr>
            <m:e>
              <m:r>
                <m:t>c</m:t>
              </m:r>
              <m:r>
                <m:t>o</m:t>
              </m:r>
              <m:r>
                <m:t>n</m:t>
              </m:r>
              <m:r>
                <m:t>t</m:t>
              </m:r>
              <m:r>
                <m:rPr>
                  <m:sty m:val="p"/>
                </m:rPr>
                <m:t>_</m:t>
              </m:r>
              <m:r>
                <m:t>y</m:t>
              </m:r>
              <m:r>
                <m:t>e</m:t>
              </m:r>
              <m:r>
                <m:t>a</m:t>
              </m:r>
              <m:sSub>
                <m:e>
                  <m:r>
                    <m:t>r</m:t>
                  </m:r>
                </m:e>
                <m:sub>
                  <m:r>
                    <m:t>i</m:t>
                  </m:r>
                </m:sub>
              </m:sSub>
            </m:e>
          </m:d>
          <m:r>
            <m:rPr>
              <m:sty m:val="p"/>
            </m:rPr>
            <m:t>+</m:t>
          </m:r>
          <m:sSub>
            <m:e>
              <m:r>
                <m:t>f</m:t>
              </m:r>
            </m:e>
            <m:sub>
              <m:r>
                <m:t>1</m:t>
              </m:r>
            </m:sub>
          </m:sSub>
          <m:d>
            <m:dPr>
              <m:begChr m:val="("/>
              <m:endChr m:val=")"/>
              <m:grow/>
            </m:dPr>
            <m:e>
              <m:r>
                <m:t>c</m:t>
              </m:r>
              <m:r>
                <m:t>o</m:t>
              </m:r>
              <m:r>
                <m:t>n</m:t>
              </m:r>
              <m:r>
                <m:t>t</m:t>
              </m:r>
              <m:r>
                <m:rPr>
                  <m:sty m:val="p"/>
                </m:rPr>
                <m:t>_</m:t>
              </m:r>
              <m:r>
                <m:t>y</m:t>
              </m:r>
              <m:r>
                <m:t>e</m:t>
              </m:r>
              <m:r>
                <m:t>a</m:t>
              </m:r>
              <m:sSub>
                <m:e>
                  <m:r>
                    <m:t>r</m:t>
                  </m:r>
                </m:e>
                <m:sub>
                  <m:r>
                    <m:t>i</m:t>
                  </m:r>
                </m:sub>
              </m:sSub>
            </m:e>
          </m:d>
          <m:r>
            <m:rPr>
              <m:sty m:val="p"/>
            </m:rPr>
            <m:t>+</m:t>
          </m:r>
          <m:sSub>
            <m:e>
              <m:r>
                <m:t>ϵ</m:t>
              </m:r>
            </m:e>
            <m:sub>
              <m:r>
                <m:t>i</m:t>
              </m:r>
            </m:sub>
          </m:sSub>
          <m:r>
            <m:t>  </m:t>
          </m:r>
          <m:r>
            <m:rPr>
              <m:sty m:val="p"/>
            </m:rPr>
            <m:t>(</m:t>
          </m:r>
          <m:r>
            <m:t>2</m:t>
          </m:r>
          <m:r>
            <m:rPr>
              <m:sty m:val="p"/>
            </m:rPr>
            <m:t>)</m:t>
          </m:r>
        </m:oMath>
      </m:oMathPara>
    </w:p>
    <w:p>
      <w:pPr>
        <w:pStyle w:val="FirstParagraph"/>
      </w:pPr>
      <w:r>
        <w:t xml:space="preserve">where equation (2) is the same as equation (1) with the addition of a linear term for</w:t>
      </w:r>
      <w:r>
        <w:t xml:space="preserve"> </w:t>
      </w:r>
      <m:oMath>
        <m:r>
          <m:t>c</m:t>
        </m:r>
        <m:r>
          <m:t>o</m:t>
        </m:r>
        <m:r>
          <m:t>n</m:t>
        </m:r>
        <m:r>
          <m:t>t</m:t>
        </m:r>
        <m:r>
          <m:rPr>
            <m:sty m:val="p"/>
          </m:rPr>
          <m:t>_</m:t>
        </m:r>
        <m:r>
          <m:t>y</m:t>
        </m:r>
        <m:r>
          <m:t>e</m:t>
        </m:r>
        <m:r>
          <m:t>a</m:t>
        </m:r>
        <m:r>
          <m:t>r</m:t>
        </m:r>
      </m:oMath>
      <w:r>
        <w:t xml:space="preserve"> </w:t>
      </w:r>
      <w:r>
        <w:t xml:space="preserve">related to</w:t>
      </w:r>
      <w:r>
        <w:t xml:space="preserve"> </w:t>
      </w:r>
      <m:oMath>
        <m:sSub>
          <m:e>
            <m:r>
              <m:t>y</m:t>
            </m:r>
          </m:e>
          <m:sub>
            <m:r>
              <m:t>i</m:t>
            </m:r>
          </m:sub>
        </m:sSub>
      </m:oMath>
      <w:r>
        <w:t xml:space="preserve"> </w:t>
      </w:r>
      <w:r>
        <w:t xml:space="preserve">by the</w:t>
      </w:r>
      <w:r>
        <w:t xml:space="preserve"> </w:t>
      </w:r>
      <m:oMath>
        <m:sSub>
          <m:e>
            <m:r>
              <m:t>β</m:t>
            </m:r>
          </m:e>
          <m:sub>
            <m:r>
              <m:t>1</m:t>
            </m:r>
          </m:sub>
        </m:sSub>
      </m:oMath>
      <w:r>
        <w:t xml:space="preserve"> </w:t>
      </w:r>
      <w:r>
        <w:t xml:space="preserve">slope parameter.</w:t>
      </w:r>
    </w:p>
    <w:p>
      <w:pPr>
        <w:pStyle w:val="BodyText"/>
      </w:pPr>
      <w:r>
        <w:t xml:space="preserve">This model is mathematically equivalent to model S (Table</w:t>
      </w:r>
      <w:r>
        <w:t xml:space="preserve"> </w:t>
      </w:r>
      <w:r>
        <w:t xml:space="preserve">3</w:t>
      </w:r>
      <w:r>
        <w:t xml:space="preserve">). The</w:t>
      </w:r>
      <w:r>
        <w:t xml:space="preserve"> </w:t>
      </w:r>
      <m:oMath>
        <m:sSub>
          <m:e>
            <m:r>
              <m:t>f</m:t>
            </m:r>
          </m:e>
          <m:sub>
            <m:r>
              <m:t>1</m:t>
            </m:r>
          </m:sub>
        </m:sSub>
        <m:r>
          <m:rPr>
            <m:sty m:val="p"/>
          </m:rPr>
          <m:t>(</m:t>
        </m:r>
        <m:r>
          <m:rPr>
            <m:sty m:val="p"/>
          </m:rPr>
          <m:t>)</m:t>
        </m:r>
      </m:oMath>
      <w:r>
        <w:t xml:space="preserve"> </w:t>
      </w:r>
      <w:r>
        <w:t xml:space="preserve">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giving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m:oMathPara>
        <m:oMathParaPr>
          <m:jc m:val="center"/>
        </m:oMathParaPr>
        <m:oMath>
          <m:r>
            <m:rPr>
              <m:nor/>
              <m:sty m:val="p"/>
            </m:rPr>
            <m:t>Model SYD:</m:t>
          </m:r>
          <m:sSub>
            <m:e>
              <m:r>
                <m:t>y</m:t>
              </m:r>
            </m:e>
            <m:sub>
              <m:r>
                <m:t>i</m:t>
              </m:r>
            </m:sub>
          </m:sSub>
          <m:r>
            <m:rPr>
              <m:sty m:val="p"/>
            </m:rPr>
            <m:t>∼</m:t>
          </m:r>
          <m:r>
            <m:t> </m:t>
          </m:r>
          <m:sSub>
            <m:e>
              <m:r>
                <m:t>β</m:t>
              </m:r>
            </m:e>
            <m:sub>
              <m:r>
                <m:t>0</m:t>
              </m:r>
            </m:sub>
          </m:sSub>
          <m:r>
            <m:rPr>
              <m:sty m:val="p"/>
            </m:rPr>
            <m:t>+</m:t>
          </m:r>
          <m:sSub>
            <m:e>
              <m:r>
                <m:t>β</m:t>
              </m:r>
            </m:e>
            <m:sub>
              <m:r>
                <m:t>1</m:t>
              </m:r>
            </m:sub>
          </m:sSub>
          <m:d>
            <m:dPr>
              <m:begChr m:val="("/>
              <m:endChr m:val=")"/>
              <m:grow/>
            </m:dPr>
            <m:e>
              <m:r>
                <m:t>c</m:t>
              </m:r>
              <m:r>
                <m:t>o</m:t>
              </m:r>
              <m:r>
                <m:t>n</m:t>
              </m:r>
              <m:r>
                <m:t>t</m:t>
              </m:r>
              <m:r>
                <m:rPr>
                  <m:sty m:val="p"/>
                </m:rPr>
                <m:t>_</m:t>
              </m:r>
              <m:r>
                <m:t>y</m:t>
              </m:r>
              <m:r>
                <m:t>e</m:t>
              </m:r>
              <m:r>
                <m:t>a</m:t>
              </m:r>
              <m:sSub>
                <m:e>
                  <m:r>
                    <m:t>r</m:t>
                  </m:r>
                </m:e>
                <m:sub>
                  <m:r>
                    <m:t>i</m:t>
                  </m:r>
                </m:sub>
              </m:sSub>
            </m:e>
          </m:d>
          <m:r>
            <m:rPr>
              <m:sty m:val="p"/>
            </m:rPr>
            <m:t>+</m:t>
          </m:r>
          <m:sSub>
            <m:e>
              <m:r>
                <m:t>f</m:t>
              </m:r>
            </m:e>
            <m:sub>
              <m:r>
                <m:t>1</m:t>
              </m:r>
            </m:sub>
          </m:sSub>
          <m:d>
            <m:dPr>
              <m:begChr m:val="("/>
              <m:endChr m:val=")"/>
              <m:grow/>
            </m:dPr>
            <m:e>
              <m:r>
                <m:t>c</m:t>
              </m:r>
              <m:r>
                <m:t>o</m:t>
              </m:r>
              <m:r>
                <m:t>n</m:t>
              </m:r>
              <m:r>
                <m:t>t</m:t>
              </m:r>
              <m:r>
                <m:rPr>
                  <m:sty m:val="p"/>
                </m:rPr>
                <m:t>_</m:t>
              </m:r>
              <m:r>
                <m:t>y</m:t>
              </m:r>
              <m:r>
                <m:t>e</m:t>
              </m:r>
              <m:r>
                <m:t>a</m:t>
              </m:r>
              <m:sSub>
                <m:e>
                  <m:r>
                    <m:t>r</m:t>
                  </m:r>
                </m:e>
                <m:sub>
                  <m:r>
                    <m:t>i</m:t>
                  </m:r>
                </m:sub>
              </m:sSub>
            </m:e>
          </m:d>
          <m:r>
            <m:rPr>
              <m:sty m:val="p"/>
            </m:rPr>
            <m:t>+</m:t>
          </m:r>
          <m:sSub>
            <m:e>
              <m:r>
                <m:t>f</m:t>
              </m:r>
            </m:e>
            <m:sub>
              <m:r>
                <m:t>2</m:t>
              </m:r>
            </m:sub>
          </m:sSub>
          <m:d>
            <m:dPr>
              <m:begChr m:val="("/>
              <m:endChr m:val=""/>
              <m:grow/>
            </m:dPr>
            <m:e>
              <m:r>
                <m:t>d</m:t>
              </m:r>
              <m:r>
                <m:t>o</m:t>
              </m:r>
              <m:sSub>
                <m:e>
                  <m:r>
                    <m:t>y</m:t>
                  </m:r>
                </m:e>
                <m:sub>
                  <m:r>
                    <m:t>i</m:t>
                  </m:r>
                </m:sub>
              </m:sSub>
              <m:r>
                <m:rPr>
                  <m:sty m:val="p"/>
                </m:rPr>
                <m:t>)</m:t>
              </m:r>
              <m:r>
                <m:rPr>
                  <m:sty m:val="p"/>
                </m:rPr>
                <m:t>+</m:t>
              </m:r>
              <m:sSub>
                <m:e>
                  <m:r>
                    <m:t>ϵ</m:t>
                  </m:r>
                </m:e>
                <m:sub>
                  <m:r>
                    <m:t>i</m:t>
                  </m:r>
                </m:sub>
              </m:sSub>
              <m:r>
                <m:t>  </m:t>
              </m:r>
              <m:r>
                <m:rPr>
                  <m:sty m:val="p"/>
                </m:rPr>
                <m:t>(</m:t>
              </m:r>
              <m:r>
                <m:t>3</m:t>
              </m:r>
              <m:r>
                <m:rPr>
                  <m:sty m:val="p"/>
                </m:rPr>
                <m:t>)</m:t>
              </m:r>
            </m:e>
          </m:d>
        </m:oMath>
      </m:oMathPara>
    </w:p>
    <w:p>
      <w:pPr>
        <w:pStyle w:val="FirstParagraph"/>
      </w:pPr>
      <w:r>
        <w:t xml:space="preserve">where equation (3) is the same as equation (2) with the addition of a smoothing spline for</w:t>
      </w:r>
      <w:r>
        <w:t xml:space="preserve"> </w:t>
      </w:r>
      <w:r>
        <w:t xml:space="preserve">“</w:t>
      </w:r>
      <w:r>
        <w:t xml:space="preserve">day-of-year</w:t>
      </w:r>
      <w:r>
        <w:t xml:space="preserve">”</w:t>
      </w:r>
      <w:r>
        <w:t xml:space="preserve"> </w:t>
      </w:r>
      <w:r>
        <w:t xml:space="preserve">(</w:t>
      </w:r>
      <m:oMath>
        <m:r>
          <m:t>d</m:t>
        </m:r>
        <m:r>
          <m:t>o</m:t>
        </m:r>
        <m:r>
          <m:t>y</m:t>
        </m:r>
      </m:oMath>
      <w:r>
        <w:t xml:space="preserve">, i.e., Julian date, a count starting January 1 for each year). The</w:t>
      </w:r>
      <w:r>
        <w:t xml:space="preserve"> </w:t>
      </w:r>
      <m:oMath>
        <m:sSub>
          <m:e>
            <m:r>
              <m:t>f</m:t>
            </m:r>
          </m:e>
          <m:sub>
            <m:r>
              <m:t>2</m:t>
            </m:r>
          </m:sub>
        </m:sSub>
        <m:r>
          <m:rPr>
            <m:sty m:val="p"/>
          </m:rPr>
          <m:t>(</m:t>
        </m:r>
        <m:r>
          <m:rPr>
            <m:sty m:val="p"/>
          </m:rPr>
          <m:t>)</m:t>
        </m:r>
      </m:oMath>
      <w:r>
        <w:t xml:space="preserve"> </w:t>
      </w:r>
      <w:r>
        <w:t xml:space="preserve">spline is cyclic (using</w:t>
      </w:r>
      <w:r>
        <w:t xml:space="preserve"> </w:t>
      </w:r>
      <w:r>
        <w:rPr>
          <w:rStyle w:val="VerbatimChar"/>
        </w:rPr>
        <w:t xml:space="preserve">bs = 'cc'</w:t>
      </w:r>
      <w:r>
        <w:t xml:space="preserve"> </w:t>
      </w:r>
      <w:r>
        <w:t xml:space="preserve">in</w:t>
      </w:r>
      <w:r>
        <w:t xml:space="preserve"> </w:t>
      </w:r>
      <w:r>
        <w:rPr>
          <w:rStyle w:val="VerbatimChar"/>
        </w:rPr>
        <w:t xml:space="preserve">mgcv</w:t>
      </w:r>
      <w:r>
        <w:t xml:space="preserve">) to constrain the start and end at the same value. A user-specified number of knots is also included in</w:t>
      </w:r>
      <w:r>
        <w:t xml:space="preserve"> </w:t>
      </w:r>
      <m:oMath>
        <m:sSub>
          <m:e>
            <m:r>
              <m:t>f</m:t>
            </m:r>
          </m:e>
          <m:sub>
            <m:r>
              <m:t>2</m:t>
            </m:r>
          </m:sub>
        </m:sSub>
        <m:r>
          <m:rPr>
            <m:sty m:val="p"/>
          </m:rPr>
          <m:t>(</m:t>
        </m:r>
        <m:r>
          <m:rPr>
            <m:sty m:val="p"/>
          </m:rPr>
          <m:t>)</m:t>
        </m:r>
      </m:oMath>
      <w:r>
        <w:t xml:space="preserv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within-year pattern and changes the interpretation of the</w:t>
      </w:r>
      <w:r>
        <w:t xml:space="preserve"> </w:t>
      </w:r>
      <w:r>
        <w:rPr>
          <w:rStyle w:val="VerbatimChar"/>
        </w:rPr>
        <w:t xml:space="preserve">cont_year</w:t>
      </w:r>
      <w:r>
        <w:t xml:space="preserve"> </w:t>
      </w:r>
      <w:r>
        <w:t xml:space="preserve">spline to represent smoothed deviations from that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the model, even while the sum of components for each model produces similar results between models. Our goal is to extract seasonal averages from the fitted time series, which is not sensitive to different allocation of penalties among the splines in each model.</w:t>
      </w:r>
    </w:p>
    <w:p>
      <w:pPr>
        <w:pStyle w:val="BodyText"/>
      </w:pPr>
      <w:r>
        <w:t xml:space="preserve">If the fits were to differ substantially between model SYD and models S or SY, an interpretation could be difficult because the penalties for smoothing splines based on curvature are heuristic</w:t>
      </w:r>
      <w:r>
        <w:t xml:space="preserve"> </w:t>
      </w:r>
      <w:r>
        <w:t xml:space="preserve">(</w:t>
      </w:r>
      <w:hyperlink w:anchor="ref-Wood17">
        <w:r>
          <w:rPr>
            <w:rStyle w:val="Hyperlink"/>
          </w:rPr>
          <w:t xml:space="preserve">Wood, 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 is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impute an average seasonal pattern with the</w:t>
      </w:r>
      <w:r>
        <w:t xml:space="preserve"> </w:t>
      </w:r>
      <w:r>
        <w:rPr>
          <w:rStyle w:val="VerbatimChar"/>
        </w:rPr>
        <w:t xml:space="preserve">doy</w:t>
      </w:r>
      <w:r>
        <w:t xml:space="preserve"> </w:t>
      </w:r>
      <w:r>
        <w:t xml:space="preserve">spline, thereby considering data from the same period in other years in the prediction of the period with missing data. However, an interpretation of these imputations may be challenging. For example, the spring chl-a peak is a notable feature every year in the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m:oMathPara>
        <m:oMathParaPr>
          <m:jc m:val="center"/>
        </m:oMathParaPr>
        <m:oMath>
          <m:r>
            <m:rPr>
              <m:nor/>
              <m:sty m:val="p"/>
            </m:rPr>
            <m:t>Model SYDI:</m:t>
          </m:r>
          <m:sSub>
            <m:e>
              <m:r>
                <m:t>y</m:t>
              </m:r>
            </m:e>
            <m:sub>
              <m:r>
                <m:t>i</m:t>
              </m:r>
            </m:sub>
          </m:sSub>
          <m:r>
            <m:rPr>
              <m:sty m:val="p"/>
            </m:rPr>
            <m:t>∼</m:t>
          </m:r>
          <m:r>
            <m:t> </m:t>
          </m:r>
          <m:sSub>
            <m:e>
              <m:r>
                <m:t>β</m:t>
              </m:r>
            </m:e>
            <m:sub>
              <m:r>
                <m:t>0</m:t>
              </m:r>
            </m:sub>
          </m:sSub>
          <m:r>
            <m:rPr>
              <m:sty m:val="p"/>
            </m:rPr>
            <m:t>+</m:t>
          </m:r>
          <m:sSub>
            <m:e>
              <m:r>
                <m:t>β</m:t>
              </m:r>
            </m:e>
            <m:sub>
              <m:r>
                <m:t>1</m:t>
              </m:r>
            </m:sub>
          </m:sSub>
          <m:d>
            <m:dPr>
              <m:begChr m:val="("/>
              <m:endChr m:val=")"/>
              <m:grow/>
            </m:dPr>
            <m:e>
              <m:r>
                <m:t>c</m:t>
              </m:r>
              <m:r>
                <m:t>o</m:t>
              </m:r>
              <m:r>
                <m:t>n</m:t>
              </m:r>
              <m:r>
                <m:t>t</m:t>
              </m:r>
              <m:r>
                <m:rPr>
                  <m:sty m:val="p"/>
                </m:rPr>
                <m:t>_</m:t>
              </m:r>
              <m:r>
                <m:t>y</m:t>
              </m:r>
              <m:r>
                <m:t>e</m:t>
              </m:r>
              <m:r>
                <m:t>a</m:t>
              </m:r>
              <m:sSub>
                <m:e>
                  <m:r>
                    <m:t>r</m:t>
                  </m:r>
                </m:e>
                <m:sub>
                  <m:r>
                    <m:t>i</m:t>
                  </m:r>
                </m:sub>
              </m:sSub>
            </m:e>
          </m:d>
          <m:r>
            <m:rPr>
              <m:sty m:val="p"/>
            </m:rPr>
            <m:t>+</m:t>
          </m:r>
          <m:sSub>
            <m:e>
              <m:r>
                <m:t>f</m:t>
              </m:r>
            </m:e>
            <m:sub>
              <m:r>
                <m:t>1</m:t>
              </m:r>
            </m:sub>
          </m:sSub>
          <m:d>
            <m:dPr>
              <m:begChr m:val="("/>
              <m:endChr m:val=")"/>
              <m:grow/>
            </m:dPr>
            <m:e>
              <m:r>
                <m:t>c</m:t>
              </m:r>
              <m:r>
                <m:t>o</m:t>
              </m:r>
              <m:r>
                <m:t>n</m:t>
              </m:r>
              <m:r>
                <m:t>t</m:t>
              </m:r>
              <m:r>
                <m:rPr>
                  <m:sty m:val="p"/>
                </m:rPr>
                <m:t>_</m:t>
              </m:r>
              <m:r>
                <m:t>y</m:t>
              </m:r>
              <m:r>
                <m:t>e</m:t>
              </m:r>
              <m:r>
                <m:t>a</m:t>
              </m:r>
              <m:sSub>
                <m:e>
                  <m:r>
                    <m:t>r</m:t>
                  </m:r>
                </m:e>
                <m:sub>
                  <m:r>
                    <m:t>i</m:t>
                  </m:r>
                </m:sub>
              </m:sSub>
            </m:e>
          </m:d>
          <m:r>
            <m:rPr>
              <m:sty m:val="p"/>
            </m:rPr>
            <m:t>+</m:t>
          </m:r>
          <m:sSub>
            <m:e>
              <m:r>
                <m:t>f</m:t>
              </m:r>
            </m:e>
            <m:sub>
              <m:r>
                <m:t>2</m:t>
              </m:r>
            </m:sub>
          </m:sSub>
          <m:d>
            <m:dPr>
              <m:begChr m:val="("/>
              <m:endChr m:val=""/>
              <m:grow/>
            </m:dPr>
            <m:e>
              <m:r>
                <m:t>d</m:t>
              </m:r>
              <m:r>
                <m:t>o</m:t>
              </m:r>
              <m:sSub>
                <m:e>
                  <m:r>
                    <m:t>y</m:t>
                  </m:r>
                </m:e>
                <m:sub>
                  <m:r>
                    <m:t>i</m:t>
                  </m:r>
                </m:sub>
              </m:sSub>
              <m:r>
                <m:rPr>
                  <m:sty m:val="p"/>
                </m:rPr>
                <m:t>)</m:t>
              </m:r>
              <m:r>
                <m:rPr>
                  <m:sty m:val="p"/>
                </m:rPr>
                <m:t>+</m:t>
              </m:r>
              <m:sSub>
                <m:e>
                  <m:r>
                    <m:t>f</m:t>
                  </m:r>
                </m:e>
                <m:sub>
                  <m:r>
                    <m:t>3</m:t>
                  </m:r>
                </m:sub>
              </m:sSub>
              <m:d>
                <m:dPr>
                  <m:begChr m:val="("/>
                  <m:endChr m:val=")"/>
                  <m:grow/>
                </m:dPr>
                <m:e>
                  <m:r>
                    <m:t>c</m:t>
                  </m:r>
                  <m:r>
                    <m:t>o</m:t>
                  </m:r>
                  <m:r>
                    <m:t>n</m:t>
                  </m:r>
                  <m:r>
                    <m:t>t</m:t>
                  </m:r>
                  <m:r>
                    <m:rPr>
                      <m:sty m:val="p"/>
                    </m:rPr>
                    <m:t>_</m:t>
                  </m:r>
                  <m:r>
                    <m:t>y</m:t>
                  </m:r>
                  <m:r>
                    <m:t>e</m:t>
                  </m:r>
                  <m:r>
                    <m:t>a</m:t>
                  </m:r>
                  <m:sSub>
                    <m:e>
                      <m:r>
                        <m:t>r</m:t>
                      </m:r>
                    </m:e>
                    <m:sub>
                      <m:r>
                        <m:t>i</m:t>
                      </m:r>
                    </m:sub>
                  </m:sSub>
                  <m:r>
                    <m:rPr>
                      <m:sty m:val="p"/>
                    </m:rPr>
                    <m:t>,</m:t>
                  </m:r>
                  <m:r>
                    <m:t>d</m:t>
                  </m:r>
                  <m:r>
                    <m:t>o</m:t>
                  </m:r>
                  <m:sSub>
                    <m:e>
                      <m:r>
                        <m:t>y</m:t>
                      </m:r>
                    </m:e>
                    <m:sub>
                      <m:r>
                        <m:t>i</m:t>
                      </m:r>
                    </m:sub>
                  </m:sSub>
                </m:e>
              </m:d>
              <m:r>
                <m:rPr>
                  <m:sty m:val="p"/>
                </m:rPr>
                <m:t>+</m:t>
              </m:r>
              <m:sSub>
                <m:e>
                  <m:r>
                    <m:t>ϵ</m:t>
                  </m:r>
                </m:e>
                <m:sub>
                  <m:r>
                    <m:t>i</m:t>
                  </m:r>
                </m:sub>
              </m:sSub>
              <m:r>
                <m:t>  </m:t>
              </m:r>
              <m:r>
                <m:rPr>
                  <m:sty m:val="p"/>
                </m:rPr>
                <m:t>(</m:t>
              </m:r>
              <m:r>
                <m:t>4</m:t>
              </m:r>
              <m:r>
                <m:rPr>
                  <m:sty m:val="p"/>
                </m:rPr>
                <m:t>)</m:t>
              </m:r>
            </m:e>
          </m:d>
        </m:oMath>
      </m:oMathPara>
    </w:p>
    <w:p>
      <w:pPr>
        <w:pStyle w:val="FirstParagraph"/>
      </w:pPr>
      <w:r>
        <w:t xml:space="preserve">where equation (4) is the same as equation (3) with the addition of a tensor-product smoothing spline (</w:t>
      </w:r>
      <w:r>
        <w:rPr>
          <w:rStyle w:val="VerbatimChar"/>
        </w:rPr>
        <w:t xml:space="preserve">ti()</w:t>
      </w:r>
      <w:r>
        <w:t xml:space="preserve"> </w:t>
      </w:r>
      <w:r>
        <w:t xml:space="preserve">in</w:t>
      </w:r>
      <w:r>
        <w:t xml:space="preserve"> </w:t>
      </w:r>
      <w:r>
        <w:rPr>
          <w:rStyle w:val="VerbatimChar"/>
        </w:rPr>
        <w:t xml:space="preserve">mgcv</w:t>
      </w:r>
      <w:r>
        <w:t xml:space="preserve">) that varies smoothly as a function of both</w:t>
      </w:r>
      <w:r>
        <w:t xml:space="preserve"> </w:t>
      </w:r>
      <m:oMath>
        <m:r>
          <m:t>c</m:t>
        </m:r>
        <m:r>
          <m:t>o</m:t>
        </m:r>
        <m:r>
          <m:t>n</m:t>
        </m:r>
        <m:r>
          <m:t>t</m:t>
        </m:r>
        <m:r>
          <m:rPr>
            <m:sty m:val="p"/>
          </m:rPr>
          <m:t>_</m:t>
        </m:r>
        <m:r>
          <m:t>y</m:t>
        </m:r>
        <m:r>
          <m:t>e</m:t>
        </m:r>
        <m:r>
          <m:t>a</m:t>
        </m:r>
        <m:r>
          <m:t>r</m:t>
        </m:r>
      </m:oMath>
      <w:r>
        <w:t xml:space="preserve"> </w:t>
      </w:r>
      <w:r>
        <w:t xml:space="preserve">and</w:t>
      </w:r>
      <w:r>
        <w:t xml:space="preserve"> </w:t>
      </w:r>
      <m:oMath>
        <m:r>
          <m:t>d</m:t>
        </m:r>
        <m:r>
          <m:t>o</m:t>
        </m:r>
        <m:r>
          <m:t>y</m:t>
        </m:r>
      </m:oMath>
      <w:r>
        <w:t xml:space="preserve">. Both</w:t>
      </w:r>
      <w:r>
        <w:t xml:space="preserve"> </w:t>
      </w:r>
      <m:oMath>
        <m:r>
          <m:t>c</m:t>
        </m:r>
        <m:r>
          <m:t>o</m:t>
        </m:r>
        <m:r>
          <m:t>n</m:t>
        </m:r>
        <m:r>
          <m:t>t</m:t>
        </m:r>
        <m:r>
          <m:rPr>
            <m:sty m:val="p"/>
          </m:rPr>
          <m:t>_</m:t>
        </m:r>
        <m:r>
          <m:t>y</m:t>
        </m:r>
        <m:r>
          <m:t>e</m:t>
        </m:r>
        <m:r>
          <m:t>a</m:t>
        </m:r>
        <m:r>
          <m:t>r</m:t>
        </m:r>
      </m:oMath>
      <w:r>
        <w:t xml:space="preserve"> </w:t>
      </w:r>
      <w:r>
        <w:t xml:space="preserve">and</w:t>
      </w:r>
      <w:r>
        <w:t xml:space="preserve"> </w:t>
      </w:r>
      <m:oMath>
        <m:r>
          <m:t>d</m:t>
        </m:r>
        <m:r>
          <m:t>o</m:t>
        </m:r>
        <m:r>
          <m:t>y</m:t>
        </m:r>
      </m:oMath>
      <w:r>
        <w:t xml:space="preserve"> </w:t>
      </w:r>
      <w:r>
        <w:t xml:space="preserve">include their own number of knots, such that the total number of knots for the spline is the product of the two. The need for sufficient knots in SYDI can be satisfied either by sufficiently large values for</w:t>
      </w:r>
      <w:r>
        <w:t xml:space="preserve"> </w:t>
      </w:r>
      <m:oMath>
        <m:sSub>
          <m:e>
            <m:r>
              <m:t>f</m:t>
            </m:r>
          </m:e>
          <m:sub>
            <m:r>
              <m:t>3</m:t>
            </m:r>
          </m:sub>
        </m:sSub>
        <m:r>
          <m:rPr>
            <m:sty m:val="p"/>
          </m:rPr>
          <m:t>(</m:t>
        </m:r>
        <m:r>
          <m:rPr>
            <m:sty m:val="p"/>
          </m:rPr>
          <m:t>)</m:t>
        </m:r>
      </m:oMath>
      <w:r>
        <w:t xml:space="preserve"> </w:t>
      </w:r>
      <w:r>
        <w:t xml:space="preserve">or a sufficiently large value for knots in</w:t>
      </w:r>
      <w:r>
        <w:t xml:space="preserve"> </w:t>
      </w:r>
      <m:oMath>
        <m:sSub>
          <m:e>
            <m:r>
              <m:t>f</m:t>
            </m:r>
          </m:e>
          <m:sub>
            <m:r>
              <m:t>1</m:t>
            </m:r>
          </m:sub>
        </m:sSub>
        <m:r>
          <m:rPr>
            <m:sty m:val="p"/>
          </m:rPr>
          <m:t>(</m:t>
        </m:r>
        <m:r>
          <m:rPr>
            <m:sty m:val="p"/>
          </m:rPr>
          <m:t>)</m:t>
        </m:r>
      </m:oMath>
      <w:r>
        <w:t xml:space="preserve"> </w:t>
      </w:r>
      <w:r>
        <w:t xml:space="preserve">and</w:t>
      </w:r>
      <w:r>
        <w:t xml:space="preserve"> </w:t>
      </w:r>
      <m:oMath>
        <m:sSub>
          <m:e>
            <m:r>
              <m:t>f</m:t>
            </m:r>
          </m:e>
          <m:sub>
            <m:r>
              <m:t>2</m:t>
            </m:r>
          </m:sub>
        </m:sSub>
        <m:r>
          <m:rPr>
            <m:sty m:val="p"/>
          </m:rPr>
          <m:t>(</m:t>
        </m:r>
        <m:r>
          <m:rPr>
            <m:sty m:val="p"/>
          </m:rPr>
          <m:t>)</m:t>
        </m:r>
      </m:oMath>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from model S to a greater extent than model SYD, but all of the splines use the same inputs to smooth the same data. The univariate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 given the fewer knots that are available to the former. The tensor-product spline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 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a very large number of knots in both the</w:t>
      </w:r>
      <w:r>
        <w:t xml:space="preserve"> </w:t>
      </w:r>
      <w:r>
        <w:rPr>
          <w:rStyle w:val="VerbatimChar"/>
        </w:rPr>
        <w:t xml:space="preserve">cont_year</w:t>
      </w:r>
      <w:r>
        <w:t xml:space="preserve"> </w:t>
      </w:r>
      <w:r>
        <w:t xml:space="preserve">spline</w:t>
      </w:r>
      <w:r>
        <w:t xml:space="preserve"> </w:t>
      </w:r>
      <w:r>
        <w:rPr>
          <w:iCs/>
          <w:i/>
        </w:rPr>
        <w:t xml:space="preserve">and</w:t>
      </w:r>
      <w:r>
        <w:t xml:space="preserve"> </w:t>
      </w:r>
      <w:r>
        <w:t xml:space="preserve">in both dimensions of the interaction spline is impossible to achieve. The distinct aspect of model SYDI is the anticipation that within-year fluctuations will vary smoothly from year to year, which is unlikely for the SFE data and chl-a dynamics in many estuaries because bloom size typically varies between years. Thus, the conceptual motivation for model SYDI and its practical application are not supported for this analysis.</w:t>
      </w:r>
    </w:p>
    <w:p>
      <w:pPr>
        <w:pStyle w:val="BodyText"/>
      </w:pPr>
      <w:hyperlink w:anchor="ref-Murphy19">
        <w:r>
          <w:rPr>
            <w:rStyle w:val="Hyperlink"/>
          </w:rPr>
          <w:t xml:space="preserve">Murphy et al.</w:t>
        </w:r>
      </w:hyperlink>
      <w:r>
        <w:t xml:space="preserve"> </w:t>
      </w:r>
      <w:r>
        <w:t xml:space="preserve">(</w:t>
      </w:r>
      <w:hyperlink w:anchor="ref-Murphy19">
        <w:r>
          <w:rPr>
            <w:rStyle w:val="Hyperlink"/>
          </w:rPr>
          <w:t xml:space="preserve">2019</w:t>
        </w:r>
      </w:hyperlink>
      <w:r>
        <w:t xml:space="preserve">)</w:t>
      </w:r>
      <w:r>
        <w:t xml:space="preserve"> </w:t>
      </w:r>
      <w:r>
        <w:t xml:space="preserve">used spline formulations for Chesapeake Bay water quality related to those proposed here, but for different goals and with different handling of smoothness. They evaluated a</w:t>
      </w:r>
      <w:r>
        <w:t xml:space="preserve"> </w:t>
      </w:r>
      <w:r>
        <w:t xml:space="preserve">“</w:t>
      </w:r>
      <w:r>
        <w:rPr>
          <w:rStyle w:val="VerbatimChar"/>
        </w:rPr>
        <w:t xml:space="preserve">gam0</w:t>
      </w:r>
      <w:r>
        <w:t xml:space="preserve">”</w:t>
      </w:r>
      <w:r>
        <w:t xml:space="preserve"> </w:t>
      </w:r>
      <w:r>
        <w:t xml:space="preserve">with only a cyclic spline for</w:t>
      </w:r>
      <w:r>
        <w:t xml:space="preserve"> </w:t>
      </w:r>
      <w:r>
        <w:rPr>
          <w:rStyle w:val="VerbatimChar"/>
        </w:rPr>
        <w:t xml:space="preserve">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In application, only</w:t>
      </w:r>
      <w:r>
        <w:t xml:space="preserve"> </w:t>
      </w:r>
      <w:r>
        <w:t xml:space="preserve">“</w:t>
      </w:r>
      <w:r>
        <w:rPr>
          <w:rStyle w:val="VerbatimChar"/>
        </w:rPr>
        <w:t xml:space="preserve">gam2</w:t>
      </w:r>
      <w:r>
        <w:t xml:space="preserve">”</w:t>
      </w:r>
      <w:r>
        <w:t xml:space="preserve"> </w:t>
      </w:r>
      <w:r>
        <w:t xml:space="preserve">was used, including the addition of splines as functions of hydrologic variables to account for finer-scale variation. Murphy et al. allowed a maximum number of knots for the</w:t>
      </w:r>
      <w:r>
        <w:t xml:space="preserve"> </w:t>
      </w:r>
      <w:r>
        <w:rPr>
          <w:rStyle w:val="VerbatimChar"/>
        </w:rPr>
        <w:t xml:space="preserve">cont_year</w:t>
      </w:r>
      <w:r>
        <w:t xml:space="preserve"> </w:t>
      </w:r>
      <w:r>
        <w:t xml:space="preserve">spline (</w:t>
      </w:r>
      <m:oMath>
        <m:sSub>
          <m:e>
            <m:r>
              <m:t>f</m:t>
            </m:r>
          </m:e>
          <m:sub>
            <m:r>
              <m:t>1</m:t>
            </m:r>
          </m:sub>
        </m:sSub>
        <m:r>
          <m:rPr>
            <m:sty m:val="p"/>
          </m:rPr>
          <m:t>(</m:t>
        </m:r>
        <m:r>
          <m:rPr>
            <m:sty m:val="p"/>
          </m:rPr>
          <m:t>)</m:t>
        </m:r>
      </m:oMath>
      <w:r>
        <w:t xml:space="preserve">) of 2/3 times the number of years and do not explicitly consider the number of knots in the interaction spline, following an</w:t>
      </w:r>
      <w:r>
        <w:t xml:space="preserve"> </w:t>
      </w:r>
      <w:r>
        <w:rPr>
          <w:iCs/>
          <w:i/>
        </w:rPr>
        <w:t xml:space="preserve">ad hoc</w:t>
      </w:r>
      <w:r>
        <w:t xml:space="preserve"> </w:t>
      </w:r>
      <w:r>
        <w:t xml:space="preserve">allocation of variation in the data to different components based on previous interpretations of water quality dynamics in the system. Constraining splines with insufficient knots could inflate Type I error rates for temporal changes and we seek to lower this risk by increasing the upper limit for the knots for the</w:t>
      </w:r>
      <w:r>
        <w:t xml:space="preserve"> </w:t>
      </w:r>
      <m:oMath>
        <m:sSub>
          <m:e>
            <m:r>
              <m:t>f</m:t>
            </m:r>
          </m:e>
          <m:sub>
            <m:r>
              <m:t>1</m:t>
            </m:r>
          </m:sub>
        </m:sSub>
        <m:r>
          <m:rPr>
            <m:sty m:val="p"/>
          </m:rPr>
          <m:t>(</m:t>
        </m:r>
        <m:r>
          <m:rPr>
            <m:sty m:val="p"/>
          </m:rPr>
          <m:t>)</m:t>
        </m:r>
      </m:oMath>
      <w:r>
        <w:t xml:space="preserve"> </w:t>
      </w:r>
      <w:r>
        <w:t xml:space="preserve">term. Finally,</w:t>
      </w:r>
      <w:r>
        <w:t xml:space="preserve"> </w:t>
      </w:r>
      <w:hyperlink w:anchor="ref-Murphy19">
        <w:r>
          <w:rPr>
            <w:rStyle w:val="Hyperlink"/>
          </w:rPr>
          <w:t xml:space="preserve">Murphy et al.</w:t>
        </w:r>
      </w:hyperlink>
      <w:r>
        <w:t xml:space="preserve"> </w:t>
      </w:r>
      <w:r>
        <w:t xml:space="preserve">(</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resulting in near ties for AIC between models.</w:t>
      </w:r>
    </w:p>
    <w:p>
      <w:pPr>
        <w:pStyle w:val="BodyText"/>
      </w:pPr>
      <w:r>
        <w:t xml:space="preserve">We visually compare chl-a estimates from models SY, SYD, and SYDI to emphasize that similar fits can be achieved by all of the presented models (Figure</w:t>
      </w:r>
      <w:r>
        <w:t xml:space="preserve"> </w:t>
      </w:r>
      <w:r>
        <w:t xml:space="preserve">3</w:t>
      </w:r>
      <w:r>
        <w:t xml:space="preserve">, SY is identical to S and is not shown). Models S, SYD, and SYDI were fit to chl-a data from station 34 using a sufficiently high number of knots for the respective splines for each model. Predictions by day of year from each model are visually similar (Figure</w:t>
      </w:r>
      <w:r>
        <w:t xml:space="preserve"> </w:t>
      </w:r>
      <w:r>
        <w:t xml:space="preserve">3</w:t>
      </w:r>
      <w:r>
        <w:t xml:space="preserve">a) and closely follow the 1:1 line (Figure</w:t>
      </w:r>
      <w:r>
        <w:t xml:space="preserve"> </w:t>
      </w:r>
      <w:r>
        <w:t xml:space="preserve">3</w:t>
      </w:r>
      <w:r>
        <w:t xml:space="preserve">b). However, when contrasting the estimates using only the continuous year smoother (</w:t>
      </w:r>
      <m:oMath>
        <m:sSub>
          <m:e>
            <m:r>
              <m:t>f</m:t>
            </m:r>
          </m:e>
          <m:sub>
            <m:r>
              <m:t>1</m:t>
            </m:r>
          </m:sub>
        </m:sSub>
        <m:r>
          <m:rPr>
            <m:sty m:val="p"/>
          </m:rPr>
          <m:t>(</m:t>
        </m:r>
        <m:r>
          <m:rPr>
            <m:sty m:val="p"/>
          </m:rPr>
          <m:t>)</m:t>
        </m:r>
      </m:oMath>
      <w:r>
        <w:t xml:space="preserve">), the fits differ substantially because of how each model allocates variation to the splines. These results are also reflected in differences in the effective degrees of freedom among the additive components of each model (Table</w:t>
      </w:r>
      <w:r>
        <w:t xml:space="preserve"> </w:t>
      </w:r>
      <w:r>
        <w:t xml:space="preserve">3</w:t>
      </w:r>
      <w:r>
        <w:t xml:space="preserve">).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m:oMath>
        <m:sSub>
          <m:e>
            <m:r>
              <m:t>f</m:t>
            </m:r>
          </m:e>
          <m:sub>
            <m:r>
              <m:t>1</m:t>
            </m:r>
          </m:sub>
        </m:sSub>
        <m:r>
          <m:rPr>
            <m:sty m:val="p"/>
          </m:rPr>
          <m:t>(</m:t>
        </m:r>
        <m:r>
          <m:rPr>
            <m:sty m:val="p"/>
          </m:rPr>
          <m:t>)</m:t>
        </m:r>
      </m:oMath>
      <w:r>
        <w:t xml:space="preserve"> </w:t>
      </w:r>
      <w:r>
        <w:t xml:space="preserve">to evaluate chl-a trends across the monitoring stations in the SFE. This model was chosen because of the relatively faster processing time to fit the model, while providing nearly identical explanatory power as compared to the other models (Table</w:t>
      </w:r>
      <w:r>
        <w:t xml:space="preserve"> </w:t>
      </w:r>
      <w:r>
        <w:t xml:space="preserve">3</w:t>
      </w:r>
      <w:r>
        <w:t xml:space="preserve">).</w:t>
      </w:r>
    </w:p>
    <w:bookmarkEnd w:id="32"/>
    <w:bookmarkStart w:id="33" w:name="X79341b4d8d7ec317f2877c2fc7a73487dbf3a2a"/>
    <w:p>
      <w:pPr>
        <w:pStyle w:val="Heading3"/>
      </w:pPr>
      <w:r>
        <w:t xml:space="preserve">Second-stage analysis: Seasonal features with uncertainties</w:t>
      </w:r>
    </w:p>
    <w:p>
      <w:pPr>
        <w:pStyle w:val="FirstParagraph"/>
      </w:pPr>
      <w:r>
        <w:t xml:space="preserve">In the second-stage analysis, we estimated a seasonal average, such as the mean spring chl-a concentrations, with the associated uncertainty in each year. We defined</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rPr>
                <m:sty m:val="p"/>
              </m:rP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rPr>
            <m:sty m:val="p"/>
          </m:rP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cont_year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whereas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rPr>
            <m:sty m:val="p"/>
          </m:rP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rPr>
            <m:sty m:val="p"/>
          </m:rP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rPr>
            <m:sty m:val="p"/>
          </m:rP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rPr>
            <m:sty m:val="p"/>
          </m:rP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the approximate multivariate normality of the sampling distribution of</w:t>
      </w:r>
      <w:r>
        <w:t xml:space="preserve"> </w:t>
      </w:r>
      <m:oMath>
        <m:acc>
          <m:accPr>
            <m:chr m:val="̂"/>
          </m:accPr>
          <m:e>
            <m:r>
              <m:rPr>
                <m:sty m:val="b"/>
              </m:rPr>
              <m:t>β</m:t>
            </m:r>
          </m:e>
        </m:acc>
      </m:oMath>
      <w:r>
        <w:t xml:space="preserve">.</w:t>
      </w:r>
    </w:p>
    <w:bookmarkEnd w:id="33"/>
    <w:bookmarkStart w:id="34" w:name="Xbb2bf851335ed0e6d3f492840f782620d429aef"/>
    <w:p>
      <w:pPr>
        <w:pStyle w:val="Heading3"/>
      </w:pPr>
      <w:r>
        <w:t xml:space="preserve">Third-stage analysis: Trend analysis of seasonal features with uncertainties</w:t>
      </w:r>
    </w:p>
    <w:p>
      <w:pPr>
        <w:pStyle w:val="FirstParagraph"/>
      </w:pPr>
      <w:r>
        <w:t xml:space="preserve">In stage three of the analysis, we used a meta-analysis method to evaluate linear trends across years of seasonal-average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rPr>
                <m:sty m:val="p"/>
              </m:rPr>
              <m:t>,</m:t>
            </m:r>
            <m:r>
              <m:t>t</m:t>
            </m:r>
          </m:sub>
        </m:sSub>
      </m:oMath>
      <w:r>
        <w:t xml:space="preserve">) that we estimated in stage two of the analysis. This analysis provided a direct answer to the question: Is there a significant linear trend across a group of years in a seasonal average? For example, is there a trend in the spring chl-a average from 1990 to 2000? This question can also be posed in a moving-window manner across a time 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rPr>
            <m:sty m:val="p"/>
          </m:rPr>
          <m:t>=</m:t>
        </m:r>
        <m:r>
          <m:t>1</m:t>
        </m:r>
        <m:r>
          <m:rPr>
            <m:sty m:val="p"/>
          </m:rPr>
          <m:t>,</m:t>
        </m:r>
        <m:r>
          <m:rPr>
            <m:sty m:val="p"/>
          </m:rPr>
          <m:t>…</m:t>
        </m:r>
        <m:r>
          <m:rPr>
            <m:sty m:val="p"/>
          </m:rPr>
          <m:t>,</m:t>
        </m:r>
        <m:r>
          <m:t>N</m:t>
        </m:r>
      </m:oMath>
      <w:r>
        <w:t xml:space="preserve">, with their associated standard errors,</w:t>
      </w:r>
      <w:r>
        <w:t xml:space="preserve"> </w:t>
      </w:r>
      <m:oMath>
        <m:sSub>
          <m:e>
            <m:acc>
              <m:accPr>
                <m:chr m:val="̂"/>
              </m:accPr>
              <m:e>
                <m:r>
                  <m:t>σ</m:t>
                </m:r>
              </m:e>
            </m:acc>
          </m:e>
          <m:sub>
            <m:acc>
              <m:accPr>
                <m:chr m:val="̂"/>
              </m:accPr>
              <m:e>
                <m:r>
                  <m:t>μ</m:t>
                </m:r>
              </m:e>
            </m:acc>
            <m:r>
              <m:rPr>
                <m:sty m:val="p"/>
              </m:rPr>
              <m:t>,</m:t>
            </m:r>
            <m:r>
              <m:t>t</m:t>
            </m:r>
          </m:sub>
        </m:sSub>
      </m:oMath>
      <w:r>
        <w:t xml:space="preserve">.</w:t>
      </w:r>
      <w:r>
        <w:t xml:space="preserve"> </w:t>
      </w:r>
      <m:oMath>
        <m:r>
          <m:t>N</m:t>
        </m:r>
      </m:oMath>
      <w:r>
        <w:t xml:space="preserve"> </w:t>
      </w:r>
      <w:r>
        <w:t xml:space="preserve">is the number of years of the study.</w:t>
      </w:r>
    </w:p>
    <w:p>
      <w:pPr>
        <w:pStyle w:val="BodyText"/>
      </w:pPr>
      <w:r>
        <w:t xml:space="preserve">A mixed-effects meta-analysis model can estimate linear trends when each observation has an associated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rPr>
                <m:sty m:val="p"/>
              </m:rP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hyperlink w:anchor="ref-Sera19">
        <w:r>
          <w:rPr>
            <w:rStyle w:val="Hyperlink"/>
          </w:rPr>
          <w:t xml:space="preserve">Sera et al.</w:t>
        </w:r>
      </w:hyperlink>
      <w:r>
        <w:t xml:space="preserve"> </w:t>
      </w:r>
      <w:r>
        <w:t xml:space="preserve">(</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rPr>
              <m:sty m:val="p"/>
            </m:rPr>
            <m:t>=</m:t>
          </m:r>
          <m:sSub>
            <m:e>
              <m:r>
                <m:t>β</m:t>
              </m:r>
            </m:e>
            <m:sub>
              <m:r>
                <m:t>0</m:t>
              </m:r>
            </m:sub>
          </m:sSub>
          <m:r>
            <m:rPr>
              <m:sty m:val="p"/>
            </m:rPr>
            <m:t>+</m:t>
          </m:r>
          <m:sSub>
            <m:e>
              <m:r>
                <m:t>β</m:t>
              </m:r>
            </m:e>
            <m:sub>
              <m:r>
                <m:t>t</m:t>
              </m:r>
            </m:sub>
          </m:sSub>
          <m:r>
            <m:t>t</m:t>
          </m:r>
          <m:r>
            <m:rPr>
              <m:sty m:val="p"/>
            </m:rPr>
            <m:t>+</m:t>
          </m:r>
          <m:sSub>
            <m:e>
              <m:r>
                <m:t>b</m:t>
              </m:r>
            </m:e>
            <m:sub>
              <m:r>
                <m:t>t</m:t>
              </m:r>
            </m:sub>
          </m:sSub>
          <m:r>
            <m:rPr>
              <m:sty m:val="p"/>
            </m:rPr>
            <m:t>+</m:t>
          </m:r>
          <m:sSub>
            <m:e>
              <m:r>
                <m:t>ϵ</m:t>
              </m:r>
            </m:e>
            <m:sub>
              <m:r>
                <m:t>t</m:t>
              </m:r>
            </m:sub>
          </m:sSub>
          <m:r>
            <m:t>  </m:t>
          </m:r>
          <m:r>
            <m:rPr>
              <m:sty m:val="p"/>
            </m:rPr>
            <m:t>(</m:t>
          </m:r>
          <m:r>
            <m:t>5</m:t>
          </m:r>
          <m:r>
            <m:rPr>
              <m:sty m:val="p"/>
            </m:rP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rPr>
            <m:sty m:val="p"/>
          </m:rPr>
          <m:t>=</m:t>
        </m:r>
        <m:sSub>
          <m:e>
            <m:r>
              <m:t>β</m:t>
            </m:r>
          </m:e>
          <m:sub>
            <m:r>
              <m:t>0</m:t>
            </m:r>
          </m:sub>
        </m:sSub>
        <m:r>
          <m:rPr>
            <m:sty m:val="p"/>
          </m:rPr>
          <m:t>+</m:t>
        </m:r>
        <m:sSub>
          <m:e>
            <m:r>
              <m:t>β</m:t>
            </m:r>
          </m:e>
          <m:sub>
            <m:r>
              <m:t>t</m:t>
            </m:r>
          </m:sub>
        </m:sSub>
        <m:r>
          <m:t>t</m:t>
        </m:r>
        <m:r>
          <m:rPr>
            <m:sty m:val="p"/>
          </m:rPr>
          <m:t>+</m:t>
        </m:r>
        <m:sSub>
          <m:e>
            <m:r>
              <m:t>b</m:t>
            </m:r>
          </m:e>
          <m:sub>
            <m:r>
              <m:t>t</m:t>
            </m:r>
          </m:sub>
        </m:sSub>
      </m:oMath>
      <w:r>
        <w:t xml:space="preserve">. The</w:t>
      </w:r>
      <w:r>
        <w:t xml:space="preserve"> </w:t>
      </w:r>
      <w:r>
        <w:t xml:space="preserve">“</w:t>
      </w:r>
      <w:r>
        <w:t xml:space="preserve">residual,</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rPr>
            <m:sty m:val="p"/>
          </m:rP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rPr>
                <m:sty m:val="p"/>
              </m:rP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rPr>
            <m:sty m:val="p"/>
          </m:rP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follows a normal distribution with mean 0 and variance,</w:t>
      </w:r>
      <w:r>
        <w:t xml:space="preserve"> </w:t>
      </w:r>
      <m:oMath>
        <m:sSubSup>
          <m:e>
            <m:r>
              <m:t>σ</m:t>
            </m:r>
          </m:e>
          <m:sub>
            <m:r>
              <m:t>b</m:t>
            </m:r>
          </m:sub>
          <m:sup>
            <m:r>
              <m:t>2</m:t>
            </m:r>
          </m:sup>
        </m:sSubSup>
      </m:oMath>
      <w:r>
        <w:t xml:space="preserve">, to be estimated.</w:t>
      </w:r>
    </w:p>
    <w:p>
      <w:pPr>
        <w:pStyle w:val="BodyText"/>
      </w:pPr>
      <w:r>
        <w:t xml:space="preserve">We estimated the model (equation (5)) using the</w:t>
      </w:r>
      <w:r>
        <w:t xml:space="preserve"> </w:t>
      </w:r>
      <w:r>
        <w:rPr>
          <w:iCs/>
          <w:i/>
        </w:rPr>
        <w:t xml:space="preserve">mixmeta</w:t>
      </w:r>
      <w:r>
        <w:t xml:space="preserve"> </w:t>
      </w:r>
      <w:r>
        <w:t xml:space="preserve">package in R</w:t>
      </w:r>
      <w:r>
        <w:t xml:space="preserve"> </w:t>
      </w:r>
      <w:r>
        <w:t xml:space="preserve">(</w:t>
      </w:r>
      <w:hyperlink w:anchor="ref-Sera19">
        <w:r>
          <w:rPr>
            <w:rStyle w:val="Hyperlink"/>
          </w:rPr>
          <w:t xml:space="preserve">Sera et al., 2019</w:t>
        </w:r>
      </w:hyperlink>
      <w:r>
        <w:t xml:space="preserve">)</w:t>
      </w:r>
      <w:r>
        <w:t xml:space="preserve">. Results from</w:t>
      </w:r>
      <w:r>
        <w:t xml:space="preserve"> </w:t>
      </w:r>
      <w:r>
        <w:rPr>
          <w:iCs/>
          <w:i/>
        </w:rPr>
        <w:t xml:space="preserve">mixmeta</w:t>
      </w:r>
      <w:r>
        <w:t xml:space="preserve"> </w:t>
      </w:r>
      <w:r>
        <w:t xml:space="preserve">have a similar interpretation as those from regression analysis, but parameter estimates and their standard errors incorporate the known standard errors of the response values. The default estimation method for</w:t>
      </w:r>
      <w:r>
        <w:t xml:space="preserve"> </w:t>
      </w:r>
      <w:r>
        <w:rPr>
          <w:iCs/>
          <w:i/>
        </w:rPr>
        <w:t xml:space="preserve">mixmeta</w:t>
      </w:r>
      <w:r>
        <w:t xml:space="preserve">, restricted maximum likelihood (REML), was used. The meta-analysis models were applied to a chosen sequence or</w:t>
      </w:r>
      <w:r>
        <w:t xml:space="preserve"> </w:t>
      </w:r>
      <w:r>
        <w:t xml:space="preserve">“</w:t>
      </w:r>
      <w:r>
        <w:t xml:space="preserve">window</w:t>
      </w:r>
      <w:r>
        <w:t xml:space="preserve">”</w:t>
      </w:r>
      <w:r>
        <w:t xml:space="preserve"> </w:t>
      </w:r>
      <w:r>
        <w:t xml:space="preserve">of years for estimating the linear trend.</w:t>
      </w:r>
    </w:p>
    <w:bookmarkEnd w:id="34"/>
    <w:bookmarkStart w:id="35" w:name="trend-comparisons"/>
    <w:p>
      <w:pPr>
        <w:pStyle w:val="Heading3"/>
      </w:pPr>
      <w:r>
        <w:t xml:space="preserve">Trend comparisons</w:t>
      </w:r>
    </w:p>
    <w:p>
      <w:pPr>
        <w:pStyle w:val="FirstParagraph"/>
      </w:pPr>
      <w:r>
        <w:t xml:space="preserve">The above methods were applied to each station by evaluating changes in seasonal averages from January to June and July to December for approximately ten year moving windows from 1991 to 2019. The choice of within-year seasons are relevant to phytoplankton bloom phenology in the SFE</w:t>
      </w:r>
      <w:r>
        <w:t xml:space="preserve"> </w:t>
      </w:r>
      <w:r>
        <w:t xml:space="preserve">(</w:t>
      </w:r>
      <w:hyperlink w:anchor="ref-Cloern20">
        <w:r>
          <w:rPr>
            <w:rStyle w:val="Hyperlink"/>
          </w:rPr>
          <w:t xml:space="preserve">Cloern et al., 2020</w:t>
        </w:r>
      </w:hyperlink>
      <w:r>
        <w:t xml:space="preserve">)</w:t>
      </w:r>
      <w:r>
        <w:t xml:space="preserve">. The moving-window approach applied the meta-analysis to each decadal window (e.g., 1991-2001, 1992-2002, etc.), allowing changes in slope and its significance to be interpreted as the window is shifted one year at a time. We interpret the slope as representative for the central year for each block, but a predictive trend for the final year of the window could also be interpreted. For some results, we focus on the windows 1991-2000, 2000-2010, and 2010-2019.</w:t>
      </w:r>
    </w:p>
    <w:p>
      <w:pPr>
        <w:pStyle w:val="BodyText"/>
      </w:pPr>
      <w:r>
        <w:t xml:space="preserve">Finally, trend results from the meta-analysis regression method for each season and different time periods were compared to</w:t>
      </w:r>
      <w:r>
        <w:t xml:space="preserve"> </w:t>
      </w:r>
      <w:r>
        <w:t xml:space="preserve">“</w:t>
      </w:r>
      <w:r>
        <w:t xml:space="preserve">naive</w:t>
      </w:r>
      <w:r>
        <w:t xml:space="preserve">”</w:t>
      </w:r>
      <w:r>
        <w:t xml:space="preserve"> </w:t>
      </w:r>
      <w:r>
        <w:t xml:space="preserve">across-year regressions that do not propagate uncertainty to demonstrate how different and potentially misleading conclusions can be obtained. Trend estimates were compared to 1) trends from ordinary least squares (OLS) regression applied to seasonal averages from the raw data and 2) trends from OLS regression applied to GAM seasonal averages. Select examples were used where differences were pronounced to illustrate false positive or negatives that may occur with alternative methods. This analysis was then applied to all stations.</w:t>
      </w:r>
    </w:p>
    <w:bookmarkEnd w:id="35"/>
    <w:bookmarkEnd w:id="36"/>
    <w:bookmarkEnd w:id="37"/>
    <w:bookmarkStart w:id="41" w:name="results"/>
    <w:p>
      <w:pPr>
        <w:pStyle w:val="Heading1"/>
      </w:pPr>
      <w:r>
        <w:t xml:space="preserve">Results</w:t>
      </w:r>
    </w:p>
    <w:bookmarkStart w:id="38" w:name="model-performance-and-predictions"/>
    <w:p>
      <w:pPr>
        <w:pStyle w:val="Heading2"/>
      </w:pPr>
      <w:r>
        <w:t xml:space="preserve">Model performance and predictions</w:t>
      </w:r>
    </w:p>
    <w:p>
      <w:pPr>
        <w:pStyle w:val="FirstParagraph"/>
      </w:pPr>
      <w:r>
        <w:t xml:space="preserve">Model predictions for chl-a trends across all stations had an average R-squared value of 71% (Table</w:t>
      </w:r>
      <w:r>
        <w:t xml:space="preserve"> </w:t>
      </w:r>
      <w:r>
        <w:t xml:space="preserve">4</w:t>
      </w:r>
      <w:r>
        <w:t xml:space="preserve">) and ranging from 59% (station 22) to 78% (station 18). GAM predictions from north to south showed more pronounced annual and seasonal changes in chl-a towards the more southern stations (Figures S1-S9). All the models suggested 1) increasing chl-a from 1990 until 2005 to 2010, followed by decreasing chl-a until the end of the record in 2019, 2) a spring chl-a peak, particularly at southern stations, and 3) a fall chl-a peak that was smaller than the spring peak. The magnitude of the fall peak did not vary noticeably by location (Figures S1-S9).</w:t>
      </w:r>
    </w:p>
    <w:bookmarkEnd w:id="38"/>
    <w:bookmarkStart w:id="39" w:name="inter-annual-trend-estimates"/>
    <w:p>
      <w:pPr>
        <w:pStyle w:val="Heading2"/>
      </w:pPr>
      <w:r>
        <w:t xml:space="preserve">Inter-annual trend estimates</w:t>
      </w:r>
    </w:p>
    <w:p>
      <w:pPr>
        <w:pStyle w:val="FirstParagraph"/>
      </w:pPr>
      <w:r>
        <w:t xml:space="preserve">Estimates of linear trends in seasonal averages across roughly ten-year windows for different seasons are shown for station 34 (Figure</w:t>
      </w:r>
      <w:r>
        <w:t xml:space="preserve"> </w:t>
      </w:r>
      <w:r>
        <w:t xml:space="preserve">4</w:t>
      </w:r>
      <w:r>
        <w:t xml:space="preserve">). Plots a-c show trends in January to June averages while plots d-f show trends in July to December averages.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rPr>
                <m:sty m:val="p"/>
              </m:rPr>
              <m:t>−</m:t>
            </m:r>
            <m:r>
              <m:t>1</m:t>
            </m:r>
          </m:sup>
        </m:sSup>
      </m:oMath>
      <w:r>
        <w:t xml:space="preserve"> </w:t>
      </w:r>
      <w:r>
        <w:t xml:space="preserve">yr</w:t>
      </w:r>
      <m:oMath>
        <m:sSup>
          <m:e>
            <m:r>
              <m:t>​</m:t>
            </m:r>
          </m:e>
          <m:sup>
            <m:r>
              <m:rPr>
                <m:sty m:val="p"/>
              </m:rPr>
              <m:t>−</m:t>
            </m:r>
            <m:r>
              <m:t>1</m:t>
            </m:r>
          </m:sup>
        </m:sSup>
      </m:oMath>
      <w:r>
        <w:t xml:space="preserve">, 0.01-0.05 95% confidence interval) from 1991 to 2000, whereas July to December chl-a did not change significantly. Chl-a also increased from 2000 to 2010, but only for July to December (log</w:t>
      </w:r>
      <m:oMath>
        <m:sSub>
          <m:e>
            <m:r>
              <m:t>​</m:t>
            </m:r>
          </m:e>
          <m:sub>
            <m:r>
              <m:t>10</m:t>
            </m:r>
          </m:sub>
        </m:sSub>
      </m:oMath>
      <w:r>
        <w:t xml:space="preserve"> </w:t>
      </w:r>
      <w:r>
        <w:t xml:space="preserve">slope 0.03, 0-0.05 95% confidence interval). Finally, chl-a decreased from 2010 to 2019 but only for July to December (log</w:t>
      </w:r>
      <m:oMath>
        <m:sSub>
          <m:e>
            <m:r>
              <m:t>​</m:t>
            </m:r>
          </m:e>
          <m:sub>
            <m:r>
              <m:t>10</m:t>
            </m:r>
          </m:sub>
        </m:sSub>
      </m:oMath>
      <w:r>
        <w:t xml:space="preserve"> </w:t>
      </w:r>
      <w:r>
        <w:t xml:space="preserve">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more pronounced at southern stations. Figure</w:t>
      </w:r>
      <w:r>
        <w:t xml:space="preserve"> </w:t>
      </w:r>
      <w:r>
        <w:t xml:space="preserve">5</w:t>
      </w:r>
      <w:r>
        <w:t xml:space="preserve"> </w:t>
      </w:r>
      <w:r>
        <w:t xml:space="preserve">shows results from similar analyses as those in Figure</w:t>
      </w:r>
      <w:r>
        <w:t xml:space="preserve"> </w:t>
      </w:r>
      <w:r>
        <w:t xml:space="preserve">4</w:t>
      </w:r>
      <w:r>
        <w:t xml:space="preserve">, but applied to all stations. Mixed-effects meta-analysis regressions applied to seasonal averages showed that increases (based on</w:t>
      </w:r>
      <w:r>
        <w:t xml:space="preserve"> </w:t>
      </w:r>
      <m:oMath>
        <m:r>
          <m:t>p</m:t>
        </m:r>
        <m:r>
          <m:rPr>
            <m:sty m:val="p"/>
          </m:rPr>
          <m:t>&lt;</m:t>
        </m:r>
        <m:r>
          <m:t>0.05</m:t>
        </m:r>
      </m:oMath>
      <w:r>
        <w:t xml:space="preserve">) for the January to June period were observed at stations 32 and 34 from 1991 to 2000; decreases were observed at stations 30 and 32 from 2010 to 2019. For the July to December period, increases were observed at stations 24, 27, 30, and 32 from 1991 to 2000 and stations 18, 21, 22, 24, and 34 from 2000 to 2010, whereas decreases were observed at stations 30, 32, and 34 from 2010 to 2019.</w:t>
      </w:r>
    </w:p>
    <w:p>
      <w:pPr>
        <w:pStyle w:val="BodyText"/>
      </w:pPr>
      <w:r>
        <w:t xml:space="preserve">Results from a ten-year moving window comparison of seasonal trends provided additional context on when significant changes were occurring at each station (Figure</w:t>
      </w:r>
      <w:r>
        <w:t xml:space="preserve"> </w:t>
      </w:r>
      <w:r>
        <w:t xml:space="preserve">6</w:t>
      </w:r>
      <w:r>
        <w:t xml:space="preserve">).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increasing trends prior to 2005 that were more often observed in the July to December period. Additionally, chl-a at the more northern stations has not changed in recent years for both seasonal periods. For most stations and seasonal periods, a change from increasing to decreasing chl-a occurred around 2007.</w:t>
      </w:r>
    </w:p>
    <w:bookmarkEnd w:id="39"/>
    <w:bookmarkStart w:id="40" w:name="importance-of-uncertainty-propagation"/>
    <w:p>
      <w:pPr>
        <w:pStyle w:val="Heading2"/>
      </w:pPr>
      <w:r>
        <w:t xml:space="preserve">Importance of uncertainty propagation</w:t>
      </w:r>
    </w:p>
    <w:p>
      <w:pPr>
        <w:pStyle w:val="FirstParagraph"/>
      </w:pPr>
      <w:r>
        <w:t xml:space="preserve">Results showing trend estimates from meta-analysis on GAM seasonal estimates provided different conclusions than those from either OLS regression through seasonal averages from raw data (Figure</w:t>
      </w:r>
      <w:r>
        <w:t xml:space="preserve"> </w:t>
      </w:r>
      <w:r>
        <w:t xml:space="preserve">7</w:t>
      </w:r>
      <w:r>
        <w:t xml:space="preserve"> </w:t>
      </w:r>
      <w:r>
        <w:t xml:space="preserve">row 1) or OLS regression through GAM estimates without uncertainty propagation (Figure</w:t>
      </w:r>
      <w:r>
        <w:t xml:space="preserve"> </w:t>
      </w:r>
      <w:r>
        <w:t xml:space="preserve">7</w:t>
      </w:r>
      <w:r>
        <w:t xml:space="preserve"> </w:t>
      </w:r>
      <w:r>
        <w:t xml:space="preserve">row 2). Figure</w:t>
      </w:r>
      <w:r>
        <w:t xml:space="preserve"> </w:t>
      </w:r>
      <w:r>
        <w:t xml:space="preserve">7</w:t>
      </w:r>
      <w:r>
        <w:t xml:space="preserve">a shows trend estimates for station 30 for January to June averages from 2000 to 2010. Only the meta-analysis regression results show a trend in this example (based on</w:t>
      </w:r>
      <w:r>
        <w:t xml:space="preserve"> </w:t>
      </w:r>
      <m:oMath>
        <m:r>
          <m:t>p</m:t>
        </m:r>
        <m:r>
          <m:rPr>
            <m:sty m:val="p"/>
          </m:rPr>
          <m:t>&lt;</m:t>
        </m:r>
        <m:r>
          <m:t>0.05</m:t>
        </m:r>
      </m:oMath>
      <w:r>
        <w:t xml:space="preserve">). The OLS regression on observed estimates (top plot) and OLS regression on GAM estimates (middle plot) did not identify trends. Figure</w:t>
      </w:r>
      <w:r>
        <w:t xml:space="preserve"> </w:t>
      </w:r>
      <w:r>
        <w:t xml:space="preserve">7</w:t>
      </w:r>
      <w:r>
        <w:t xml:space="preserve">b shows trend estimates station 34 for July to December averages from 1991 to 2000. Unlike the first example, only the middle figure shows a trend, whereas the top and bottom plots do not show trends. In both cases, only the meta-analysis results give reliable conclusions because of full propagation of uncertainty across methods. Even in cases where the p-value threshold is not of interest, the confidence intervals from the alternative methods will be inaccurate.</w:t>
      </w:r>
    </w:p>
    <w:p>
      <w:pPr>
        <w:pStyle w:val="BodyText"/>
      </w:pPr>
      <w:r>
        <w:t xml:space="preserve">Applying the same comparison to all stations showed that different trend analysis methods provided conflicting information on the magnitude and significance of the seasonal chl-a changes in each decade (Figure</w:t>
      </w:r>
      <w:r>
        <w:t xml:space="preserve"> </w:t>
      </w:r>
      <w:r>
        <w:t xml:space="preserve">8</w:t>
      </w:r>
      <w:r>
        <w:t xml:space="preserve">). In many cases, the slope estimates were similar in magnitude, with some exceptions at the more southern stations where the OLS estimates suggested a larger trend than the meta-analysis methods. More importantly, differences in the magnitude of the confidence intervals between the OLS models applied to the GAM averages and the meta-analyses were also observed, reflecting the ability of the latter to more accurately assess significance of trends by accounting for uncertainty in the average estimates.</w:t>
      </w:r>
    </w:p>
    <w:bookmarkEnd w:id="40"/>
    <w:bookmarkEnd w:id="41"/>
    <w:bookmarkStart w:id="43" w:name="discussion"/>
    <w:p>
      <w:pPr>
        <w:pStyle w:val="Heading1"/>
      </w:pPr>
      <w:r>
        <w:t xml:space="preserve">Discussion</w:t>
      </w:r>
    </w:p>
    <w:p>
      <w:pPr>
        <w:pStyle w:val="FirstParagraph"/>
      </w:pPr>
      <w:r>
        <w:t xml:space="preserve">Propagation of uncertainty from within-year features of estimated GAMs to across-year trends using mixed-effects meta-analysis is a new approach that can address different questions than previous methods. Our approach has several advantages over more conventional approaches for analysis of water quality data from long-term monitoring programs. GAMs are capable of modelling time series with missing observations or irregular sampling which can complicate trend assessment and comparison of trends between locations</w:t>
      </w:r>
      <w:r>
        <w:t xml:space="preserve"> </w:t>
      </w:r>
      <w:r>
        <w:t xml:space="preserve">(</w:t>
      </w:r>
      <w:hyperlink w:anchor="ref-Junninen04">
        <w:r>
          <w:rPr>
            <w:rStyle w:val="Hyperlink"/>
          </w:rPr>
          <w:t xml:space="preserve">Junninen et al., 2004</w:t>
        </w:r>
      </w:hyperlink>
      <w:r>
        <w:t xml:space="preserve">;</w:t>
      </w:r>
      <w:r>
        <w:t xml:space="preserve"> </w:t>
      </w:r>
      <w:hyperlink w:anchor="ref-Racault14">
        <w:r>
          <w:rPr>
            <w:rStyle w:val="Hyperlink"/>
          </w:rPr>
          <w:t xml:space="preserve">Racault et al., 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w:t>
      </w:r>
      <w:hyperlink w:anchor="ref-Helsel20">
        <w:r>
          <w:rPr>
            <w:rStyle w:val="Hyperlink"/>
          </w:rPr>
          <w:t xml:space="preserve">Helsel et al., 2020</w:t>
        </w:r>
      </w:hyperlink>
      <w:r>
        <w:t xml:space="preserve">;</w:t>
      </w:r>
      <w:r>
        <w:t xml:space="preserve"> </w:t>
      </w:r>
      <w:hyperlink w:anchor="ref-Hirsch82">
        <w:r>
          <w:rPr>
            <w:rStyle w:val="Hyperlink"/>
          </w:rPr>
          <w:t xml:space="preserve">Hirsch et al., 1982</w:t>
        </w:r>
      </w:hyperlink>
      <w:r>
        <w:t xml:space="preserve">)</w:t>
      </w:r>
      <w:r>
        <w:t xml:space="preserve">. These methods only assess the direction and significance of comparisons between year pairs, and importantly, do not account for full propagation of uncertainty inherent in raw observations if the raw data are aggregated to meet test requirements. Aggregation of raw data, e.g., averaging of observations within a year or season to comply with the requirements of Kendall tests, risks loss of information by removing variation between observations at smaller time scales. The logical outcome is increased risk of incorrect conclusions from test results.</w:t>
      </w:r>
    </w:p>
    <w:p>
      <w:pPr>
        <w:pStyle w:val="BodyText"/>
      </w:pPr>
      <w:r>
        <w:t xml:space="preserve">Incorrect conclusions on trends can have dramatic consequences for regulated parties under existing water quality compliance frameworks</w:t>
      </w:r>
      <w:r>
        <w:t xml:space="preserve"> </w:t>
      </w:r>
      <w:r>
        <w:t xml:space="preserve">(</w:t>
      </w:r>
      <w:hyperlink w:anchor="ref-Smith01">
        <w:r>
          <w:rPr>
            <w:rStyle w:val="Hyperlink"/>
          </w:rPr>
          <w:t xml:space="preserve">Smith et al., 2001</w:t>
        </w:r>
      </w:hyperlink>
      <w:r>
        <w:t xml:space="preserve">)</w:t>
      </w:r>
      <w:r>
        <w:t xml:space="preserve">. Our examples in Figures</w:t>
      </w:r>
      <w:r>
        <w:t xml:space="preserve"> </w:t>
      </w:r>
      <w:r>
        <w:t xml:space="preserve">7</w:t>
      </w:r>
      <w:r>
        <w:t xml:space="preserve"> </w:t>
      </w:r>
      <w:r>
        <w:t xml:space="preserve">and</w:t>
      </w:r>
      <w:r>
        <w:t xml:space="preserve"> </w:t>
      </w:r>
      <w:r>
        <w:t xml:space="preserve">8</w:t>
      </w:r>
      <w:r>
        <w:t xml:space="preserve"> </w:t>
      </w:r>
      <w:r>
        <w:t xml:space="preserve">demonstrate these risks if propagation of uncertainty from raw observations across methods is unaccounted for in trend assessment. Our assessment of trends using OLS regression applied to seasonal averages from the raw observations is effectively like averaging results within a year and applying a simple Kendall test. In many cases the results may be similar, but loss of information with averaging can lead to increased Type I or II error rates depending on characteristics of the raw data and the method used for their evaluation</w:t>
      </w:r>
      <w:r>
        <w:t xml:space="preserve"> </w:t>
      </w:r>
      <w:r>
        <w:t xml:space="preserve">(</w:t>
      </w:r>
      <w:hyperlink w:anchor="ref-Shabman03">
        <w:r>
          <w:rPr>
            <w:rStyle w:val="Hyperlink"/>
          </w:rPr>
          <w:t xml:space="preserve">Shabman and Smith, 2003</w:t>
        </w:r>
      </w:hyperlink>
      <w:r>
        <w:t xml:space="preserve">)</w:t>
      </w:r>
      <w:r>
        <w:t xml:space="preserve">. Moreover, use of methods that fully account for uncertainty in sampling design is recommended over more conventional analyses given the certainty of conclusions in the former. Our examples demonstrated the increased potential for incorrect conclusions at specific monitoring locations and at much larger spatial scales across all stations if simpler trend analyses are used. Even though simpler methods may produce the same result, particularly with frequent sampling and similar effort between years, decision-makers require certainty of conclusions when incorrect results can have expensive consequences.</w:t>
      </w:r>
    </w:p>
    <w:p>
      <w:pPr>
        <w:pStyle w:val="BodyText"/>
      </w:pPr>
      <w:r>
        <w:t xml:space="preserve">Results here also show that GAM structure (i.e., choice of smoothing terms) was less important than allowing the model sufficient freedom to fit the data. This is an important conclusion that provides guidance on how GAMs could be used to model time series from long-term environmental monitoring programs. Models with separate smoothers for continuous year and day of year can produce nearly identical results in the predicted trends if the knots are sufficiently high to allow the GAMs to be fit as intended by the methods in the mgcv package (Figure</w:t>
      </w:r>
      <w:r>
        <w:t xml:space="preserve"> </w:t>
      </w:r>
      <w:r>
        <w:t xml:space="preserve">3</w:t>
      </w:r>
      <w:r>
        <w:t xml:space="preserve">). The approach presented here leverages the ability of GAMs to objectively estimate smoothed trends across years by identifying an optimal level of smoothing using generalized cross-validation to extract an underlying signal in the observed data</w:t>
      </w:r>
      <w:r>
        <w:t xml:space="preserve"> </w:t>
      </w:r>
      <w:r>
        <w:t xml:space="preserve">(</w:t>
      </w:r>
      <w:hyperlink w:anchor="ref-Wood17">
        <w:r>
          <w:rPr>
            <w:rStyle w:val="Hyperlink"/>
          </w:rPr>
          <w:t xml:space="preserve">Wood, 2017</w:t>
        </w:r>
      </w:hyperlink>
      <w:r>
        <w:t xml:space="preserve">,</w:t>
      </w:r>
      <w:r>
        <w:t xml:space="preserve"> </w:t>
      </w:r>
      <w:hyperlink w:anchor="ref-Wood04">
        <w:r>
          <w:rPr>
            <w:rStyle w:val="Hyperlink"/>
          </w:rPr>
          <w:t xml:space="preserve">2004</w:t>
        </w:r>
      </w:hyperlink>
      <w:r>
        <w:t xml:space="preserve">)</w:t>
      </w:r>
      <w:r>
        <w:t xml:space="preserve">.</w:t>
      </w:r>
    </w:p>
    <w:p>
      <w:pPr>
        <w:pStyle w:val="BodyText"/>
      </w:pPr>
      <w:r>
        <w:t xml:space="preserve">The underlying cross-validation methods used by GAMs in the mgcv package also reduce the decisions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w:t>
      </w:r>
      <w:hyperlink w:anchor="ref-Hirsch10">
        <w:r>
          <w:rPr>
            <w:rStyle w:val="Hyperlink"/>
          </w:rPr>
          <w:t xml:space="preserve">Hirsch et al., 2010</w:t>
        </w:r>
      </w:hyperlink>
      <w:r>
        <w:t xml:space="preserve">;</w:t>
      </w:r>
      <w:r>
        <w:t xml:space="preserve"> </w:t>
      </w:r>
      <w:hyperlink w:anchor="ref-Wan17">
        <w:r>
          <w:rPr>
            <w:rStyle w:val="Hyperlink"/>
          </w:rPr>
          <w:t xml:space="preserve">Wan et al., 2017</w:t>
        </w:r>
      </w:hyperlink>
      <w:r>
        <w:t xml:space="preserve">)</w:t>
      </w:r>
      <w:r>
        <w:t xml:space="preserve">. This is especially problematic for policy analysis or regulatory decisions if the results change based on arbitrary decisions of the analyst. Because these decisions are not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bookmarkStart w:id="42" w:name="future-work"/>
    <w:p>
      <w:pPr>
        <w:pStyle w:val="Heading2"/>
      </w:pPr>
      <w:r>
        <w:t xml:space="preserve">Future work</w:t>
      </w:r>
    </w:p>
    <w:p>
      <w:pPr>
        <w:pStyle w:val="FirstParagraph"/>
      </w:pPr>
      <w:r>
        <w:t xml:space="preserve">Additional work could be conducted to further strengthen the conclusions based on trends from meta-analysis regression applied to the GAM seasonal averages. Our third stage analyses require</w:t>
      </w:r>
      <w:r>
        <w:t xml:space="preserve"> </w:t>
      </w:r>
      <w:r>
        <w:rPr>
          <w:iCs/>
          <w:i/>
        </w:rPr>
        <w:t xml:space="preserve">a priori</w:t>
      </w:r>
      <w:r>
        <w:t xml:space="preserve"> </w:t>
      </w:r>
      <w:r>
        <w:t xml:space="preserve">decisions on long-term time scales of interest and future work could generalize these choices. Although there are undoubtedly many scenarios where years of interest can be chosen objectively by the needs of an analysis (e.g., regulatory compliance periods, time since management intervention), a more general question of</w:t>
      </w:r>
      <w:r>
        <w:t xml:space="preserve"> </w:t>
      </w:r>
      <w:r>
        <w:t xml:space="preserve">“</w:t>
      </w:r>
      <w:r>
        <w:t xml:space="preserve">when</w:t>
      </w:r>
      <w:r>
        <w:t xml:space="preserve">”</w:t>
      </w:r>
      <w:r>
        <w:t xml:space="preserve"> </w:t>
      </w:r>
      <w:r>
        <w:t xml:space="preserve">changes occur independent of user decisions is also important to address. Additional methods could be developed using objective criteria to identify inflection points or other important periods where changes occur independent of a user choice. Assessing water quality changes beyond an evaluation of seasonal averages could also be possible with our approach, such as assessing changes in the timing or magnitude of a seasonal peak across years.</w:t>
      </w:r>
    </w:p>
    <w:p>
      <w:pPr>
        <w:pStyle w:val="BodyText"/>
      </w:pPr>
      <w:r>
        <w:t xml:space="preserve">Additional explanatory variables could be identified that may be associated with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t>
      </w:r>
      <w:hyperlink w:anchor="ref-Wood02">
        <w:r>
          <w:rPr>
            <w:rStyle w:val="Hyperlink"/>
          </w:rPr>
          <w:t xml:space="preserve">Wood and Augustin, 2002</w:t>
        </w:r>
      </w:hyperlink>
      <w:r>
        <w:t xml:space="preserve">;</w:t>
      </w:r>
      <w:r>
        <w:t xml:space="preserve"> </w:t>
      </w:r>
      <w:hyperlink w:anchor="ref-Zuur09">
        <w:r>
          <w:rPr>
            <w:rStyle w:val="Hyperlink"/>
          </w:rPr>
          <w:t xml:space="preserve">Zuur et al., 2009</w:t>
        </w:r>
      </w:hyperlink>
      <w:r>
        <w:t xml:space="preserve">)</w:t>
      </w:r>
      <w:r>
        <w:t xml:space="preserve">. In such cases, considerations of model structure can have direct implications on conclusions given how GAMs could be used to assess different questions. Our goal was to describe chl-a changes relative to time, where the predictors were variations on a general theme (e.g., season vs. year). This is a different application from using GAMs with predictors selected to explain those changes over time. Therefore, using our approach to evaluate explanatory variables will require testing of different model structures.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the SFE</w:t>
      </w:r>
      <w:r>
        <w:t xml:space="preserve"> </w:t>
      </w:r>
      <w:r>
        <w:t xml:space="preserve">(</w:t>
      </w:r>
      <w:hyperlink w:anchor="ref-Cloern16">
        <w:r>
          <w:rPr>
            <w:rStyle w:val="Hyperlink"/>
          </w:rPr>
          <w:t xml:space="preserve">Cloern and Schraga, 2016</w:t>
        </w:r>
      </w:hyperlink>
      <w:r>
        <w:t xml:space="preserve">;</w:t>
      </w:r>
      <w:r>
        <w:t xml:space="preserve"> </w:t>
      </w:r>
      <w:hyperlink w:anchor="ref-Schraga20">
        <w:r>
          <w:rPr>
            <w:rStyle w:val="Hyperlink"/>
          </w:rPr>
          <w:t xml:space="preserve">Schraga et al., 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w:t>
      </w:r>
      <w:hyperlink w:anchor="ref-Cloern07">
        <w:r>
          <w:rPr>
            <w:rStyle w:val="Hyperlink"/>
          </w:rPr>
          <w:t xml:space="preserve">Cloern et al., 2007</w:t>
        </w:r>
      </w:hyperlink>
      <w:r>
        <w:t xml:space="preserve">;</w:t>
      </w:r>
      <w:r>
        <w:t xml:space="preserve"> </w:t>
      </w:r>
      <w:hyperlink w:anchor="ref-Jassby02">
        <w:r>
          <w:rPr>
            <w:rStyle w:val="Hyperlink"/>
          </w:rPr>
          <w:t xml:space="preserve">Jassby et al., 2002</w:t>
        </w:r>
      </w:hyperlink>
      <w:r>
        <w:t xml:space="preserve">)</w:t>
      </w:r>
      <w:r>
        <w:t xml:space="preserve">. The open-source wqtrends R package</w:t>
      </w:r>
      <w:r>
        <w:t xml:space="preserve"> </w:t>
      </w:r>
      <w:r>
        <w:t xml:space="preserve">(</w:t>
      </w:r>
      <w:hyperlink w:anchor="ref-Beck21">
        <w:r>
          <w:rPr>
            <w:rStyle w:val="Hyperlink"/>
          </w:rPr>
          <w:t xml:space="preserve">Beck et al., 2021</w:t>
        </w:r>
      </w:hyperlink>
      <w:r>
        <w:t xml:space="preserve">)</w:t>
      </w:r>
      <w:r>
        <w:t xml:space="preserve"> </w:t>
      </w:r>
      <w:r>
        <w:t xml:space="preserve">developed for this manuscript can be used for these analyses to provide additional insight into potential drivers of water quality change in the SFE and other estuarine systems.</w:t>
      </w:r>
    </w:p>
    <w:bookmarkEnd w:id="42"/>
    <w:bookmarkEnd w:id="43"/>
    <w:bookmarkStart w:id="44" w:name="acknowledgments"/>
    <w:p>
      <w:pPr>
        <w:pStyle w:val="Heading1"/>
      </w:pPr>
      <w:r>
        <w:t xml:space="preserve">Acknowledgments</w:t>
      </w:r>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bookmarkEnd w:id="44"/>
    <w:bookmarkStart w:id="53" w:name="figures"/>
    <w:p>
      <w:pPr>
        <w:pStyle w:val="Heading1"/>
      </w:pPr>
      <w:r>
        <w:t xml:space="preserve">Figures</w:t>
      </w:r>
    </w:p>
    <w:p>
      <w:pPr>
        <w:pStyle w:val="CaptionedFigure"/>
      </w:pPr>
      <w:r>
        <w:drawing>
          <wp:inline>
            <wp:extent cx="5943600" cy="5200650"/>
            <wp:effectExtent b="0" l="0" r="0" t="0"/>
            <wp:docPr descr="Figure 1: Observed chl-a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5"/>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chl-a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3458" cy="5958496"/>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6"/>
                    <a:stretch>
                      <a:fillRect/>
                    </a:stretch>
                  </pic:blipFill>
                  <pic:spPr bwMode="auto">
                    <a:xfrm>
                      <a:off x="0" y="0"/>
                      <a:ext cx="4583458" cy="5958496"/>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hyperlink w:anchor="ref-Schraga20">
        <w:r>
          <w:rPr>
            <w:rStyle w:val="Hyperlink"/>
          </w:rPr>
          <w:t xml:space="preserve">Schraga et al.</w:t>
        </w:r>
      </w:hyperlink>
      <w:r>
        <w:t xml:space="preserve"> </w:t>
      </w:r>
      <w:r>
        <w:t xml:space="preserve">(</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similar except for a few observations at extreme values (a, b), but they vary in how they allocate contributions to the predictions among different additive splines (c).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7"/>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similar except for a few observations at extreme values (a, b), but they vary in how they allocate contributions to the predictions among different additive splines (c). The 1:1 lines are in red to facilitate comparisons.</w:t>
      </w:r>
    </w:p>
    <w:p>
      <w:pPr>
        <w:pStyle w:val="CaptionedFigure"/>
      </w:pPr>
      <w:r>
        <w:drawing>
          <wp:inline>
            <wp:extent cx="5943600" cy="3241963"/>
            <wp:effectExtent b="0" l="0" r="0" t="0"/>
            <wp:docPr descr="Figure 4: 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_{10}-slope (+/- 95 % confidence interval) in the sub-plot titles. ns: not significant at \alpha = 0.05, * p &lt; 0.05" title="" id="1" name="Picture"/>
            <a:graphic>
              <a:graphicData uri="http://schemas.openxmlformats.org/drawingml/2006/picture">
                <pic:pic>
                  <pic:nvPicPr>
                    <pic:cNvPr descr="figs/trnddat.png" id="0" name="Picture"/>
                    <pic:cNvPicPr>
                      <a:picLocks noChangeArrowheads="1" noChangeAspect="1"/>
                    </pic:cNvPicPr>
                  </pic:nvPicPr>
                  <pic:blipFill>
                    <a:blip r:embed="rId48"/>
                    <a:stretch>
                      <a:fillRect/>
                    </a:stretch>
                  </pic:blipFill>
                  <pic:spPr bwMode="auto">
                    <a:xfrm>
                      <a:off x="0" y="0"/>
                      <a:ext cx="5943600" cy="3241963"/>
                    </a:xfrm>
                    <a:prstGeom prst="rect">
                      <a:avLst/>
                    </a:prstGeom>
                    <a:noFill/>
                    <a:ln w="9525">
                      <a:noFill/>
                      <a:headEnd/>
                      <a:tailEnd/>
                    </a:ln>
                  </pic:spPr>
                </pic:pic>
              </a:graphicData>
            </a:graphic>
          </wp:inline>
        </w:drawing>
      </w:r>
    </w:p>
    <w:p>
      <w:pPr>
        <w:pStyle w:val="ImageCaption"/>
      </w:pPr>
      <w:r>
        <w:t xml:space="preserve">Figure 4: 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w:t>
      </w:r>
      <m:oMath>
        <m:sSub>
          <m:e>
            <m:r>
              <m:t>​</m:t>
            </m:r>
          </m:e>
          <m:sub>
            <m:r>
              <m:t>10</m:t>
            </m:r>
          </m:sub>
        </m:sSub>
      </m:oMath>
      <w:r>
        <w:t xml:space="preserve">-slope (+/- 95 % confidence interval) in the sub-plot titles. ns: not significant at</w:t>
      </w:r>
      <w:r>
        <w:t xml:space="preserve"> </w:t>
      </w:r>
      <m:oMath>
        <m:r>
          <m:t>α</m:t>
        </m:r>
      </m:oMath>
      <w:r>
        <w:t xml:space="preserve"> </w:t>
      </w:r>
      <w:r>
        <w:t xml:space="preserve">= 0.05, * p &lt; 0.05</w:t>
      </w:r>
    </w:p>
    <w:p>
      <w:pPr>
        <w:pStyle w:val="CaptionedFigure"/>
      </w:pPr>
      <w:r>
        <w:drawing>
          <wp:inline>
            <wp:extent cx="5943600" cy="5151120"/>
            <wp:effectExtent b="0" l="0" r="0" t="0"/>
            <wp:docPr descr="Figure 5: Interannual trend estimates of seasonal averages by decade for chl-a at each station. Point ty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49"/>
                    <a:stretch>
                      <a:fillRect/>
                    </a:stretch>
                  </pic:blipFill>
                  <pic:spPr bwMode="auto">
                    <a:xfrm>
                      <a:off x="0" y="0"/>
                      <a:ext cx="5943600" cy="5151120"/>
                    </a:xfrm>
                    <a:prstGeom prst="rect">
                      <a:avLst/>
                    </a:prstGeom>
                    <a:noFill/>
                    <a:ln w="9525">
                      <a:noFill/>
                      <a:headEnd/>
                      <a:tailEnd/>
                    </a:ln>
                  </pic:spPr>
                </pic:pic>
              </a:graphicData>
            </a:graphic>
          </wp:inline>
        </w:drawing>
      </w:r>
    </w:p>
    <w:p>
      <w:pPr>
        <w:pStyle w:val="ImageCaption"/>
      </w:pPr>
      <w:r>
        <w:t xml:space="preserve">Figure 5: Interannual trend estimates of seasonal averages by decade for chl-a at each station. Point type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rPr>
            <m:sty m:val="p"/>
          </m:rP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6: Estimates of log_{10} 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Estimates of log</w:t>
      </w:r>
      <m:oMath>
        <m:sSub>
          <m:e>
            <m:r>
              <m:t>​</m:t>
            </m:r>
          </m:e>
          <m:sub>
            <m:r>
              <m:t>10</m:t>
            </m:r>
          </m:sub>
        </m:sSub>
      </m:oMath>
      <w:r>
        <w:t xml:space="preserve"> </w:t>
      </w:r>
      <w:r>
        <w:t xml:space="preserve">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w:t>
      </w:r>
    </w:p>
    <w:p>
      <w:pPr>
        <w:pStyle w:val="CaptionedFigure"/>
      </w:pPr>
      <w:r>
        <w:drawing>
          <wp:inline>
            <wp:extent cx="5943600" cy="4984954"/>
            <wp:effectExtent b="0" l="0" r="0" t="0"/>
            <wp:docPr descr="Figure 7: Trend estimate comparisons (arithmetic scale) for three models applied to seasonal averages of chl-a in different annual periods at stations (a) 30 and (b) 34.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itle="" id="1" name="Picture"/>
            <a:graphic>
              <a:graphicData uri="http://schemas.openxmlformats.org/drawingml/2006/picture">
                <pic:pic>
                  <pic:nvPicPr>
                    <pic:cNvPr descr="figs/trndcmpex.png" id="0" name="Picture"/>
                    <pic:cNvPicPr>
                      <a:picLocks noChangeArrowheads="1" noChangeAspect="1"/>
                    </pic:cNvPicPr>
                  </pic:nvPicPr>
                  <pic:blipFill>
                    <a:blip r:embed="rId51"/>
                    <a:stretch>
                      <a:fillRect/>
                    </a:stretch>
                  </pic:blipFill>
                  <pic:spPr bwMode="auto">
                    <a:xfrm>
                      <a:off x="0" y="0"/>
                      <a:ext cx="5943600" cy="4984954"/>
                    </a:xfrm>
                    <a:prstGeom prst="rect">
                      <a:avLst/>
                    </a:prstGeom>
                    <a:noFill/>
                    <a:ln w="9525">
                      <a:noFill/>
                      <a:headEnd/>
                      <a:tailEnd/>
                    </a:ln>
                  </pic:spPr>
                </pic:pic>
              </a:graphicData>
            </a:graphic>
          </wp:inline>
        </w:drawing>
      </w:r>
    </w:p>
    <w:p>
      <w:pPr>
        <w:pStyle w:val="ImageCaption"/>
      </w:pPr>
      <w:r>
        <w:t xml:space="preserve">Figure 7: Trend estimate comparisons (arithmetic scale) for three models applied to seasonal averages of chl-a in different annual periods at stations (a) 30 and (b) 34.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w:t>
      </w:r>
    </w:p>
    <w:p>
      <w:pPr>
        <w:pStyle w:val="CaptionedFigure"/>
      </w:pPr>
      <w:r>
        <w:drawing>
          <wp:inline>
            <wp:extent cx="5943600" cy="4754880"/>
            <wp:effectExtent b="0" l="0" r="0" t="0"/>
            <wp:docPr descr="Figure 8: Trend estimate comparisons for three models applied to seasonal averages of chl-a in different annual periods at each station. The “OLS raw” trend model is based on an ordinary least squares (OLS) regression fit to the seasonal averages of chl-a from the raw data, the “OLS GAM” trend model is based on an OLS regression fit to the seasonal averages of chl-a from the GAM model (without error propagation), and the “Meta-analysis GAM” trend model is based on a meta-analysis regression fit to the seasonal averages of chl-a from the GAM model. Values for each model are the log_{10}-slope estimates (+/- 95% confidence interval) as annual change per year within each season, with line style denoting trend significance." title="" id="1" name="Picture"/>
            <a:graphic>
              <a:graphicData uri="http://schemas.openxmlformats.org/drawingml/2006/picture">
                <pic:pic>
                  <pic:nvPicPr>
                    <pic:cNvPr descr="figs/trndcmp10.png" id="0"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chl-a in different annual periods at each station. The</w:t>
      </w:r>
      <w:r>
        <w:t xml:space="preserve"> </w:t>
      </w:r>
      <w:r>
        <w:t xml:space="preserve">“</w:t>
      </w:r>
      <w:r>
        <w:t xml:space="preserve">OLS raw</w:t>
      </w:r>
      <w:r>
        <w:t xml:space="preserve">”</w:t>
      </w:r>
      <w:r>
        <w:t xml:space="preserve"> </w:t>
      </w:r>
      <w:r>
        <w:t xml:space="preserve">trend model is based on an ordinary least squares (OLS) regression fit to the seasonal averages of chl-a from the raw data, the</w:t>
      </w:r>
      <w:r>
        <w:t xml:space="preserve"> </w:t>
      </w:r>
      <w:r>
        <w:t xml:space="preserve">“</w:t>
      </w:r>
      <w:r>
        <w:t xml:space="preserve">OLS GAM</w:t>
      </w:r>
      <w:r>
        <w:t xml:space="preserve">”</w:t>
      </w:r>
      <w:r>
        <w:t xml:space="preserve"> </w:t>
      </w:r>
      <w:r>
        <w:t xml:space="preserve">trend model is based on an OLS regression fit to the seasonal averages of chl-a from the GAM model (without error propagation), and the</w:t>
      </w:r>
      <w:r>
        <w:t xml:space="preserve"> </w:t>
      </w:r>
      <w:r>
        <w:t xml:space="preserve">“</w:t>
      </w:r>
      <w:r>
        <w:t xml:space="preserve">Meta-analysis GAM</w:t>
      </w:r>
      <w:r>
        <w:t xml:space="preserve">”</w:t>
      </w:r>
      <w:r>
        <w:t xml:space="preserve"> </w:t>
      </w:r>
      <w:r>
        <w:t xml:space="preserve">trend model is based on a meta-analysis regression fit to the seasonal averages of chl-a from the GAM model. Values for each model are the log</w:t>
      </w:r>
      <m:oMath>
        <m:sSub>
          <m:e>
            <m:r>
              <m:t>​</m:t>
            </m:r>
          </m:e>
          <m:sub>
            <m:r>
              <m:t>10</m:t>
            </m:r>
          </m:sub>
        </m:sSub>
      </m:oMath>
      <w:r>
        <w:t xml:space="preserve">-slope estimates (+/- 95% confidence interval) as annual change per year within each season, with line style denoting trend significance.</w:t>
      </w:r>
    </w:p>
    <w:bookmarkEnd w:id="53"/>
    <w:bookmarkStart w:id="54" w:name="tables"/>
    <w:p>
      <w:pPr>
        <w:pStyle w:val="Heading1"/>
      </w:pPr>
      <w:r>
        <w:t xml:space="preserve">Tables</w:t>
      </w:r>
    </w:p>
    <w:p>
      <w:pPr>
        <w:pStyle w:val="TableCaption"/>
      </w:pPr>
      <w:r>
        <w:t xml:space="preserve">Table 1: Station locations, sample sizes (from 1991 to 2019), and summary values (median, minimum, maximum) for chl-a (</w:t>
      </w:r>
      <m:oMath>
        <m:r>
          <m:t>μ</m:t>
        </m:r>
      </m:oMath>
      <w:r>
        <w:t xml:space="preserve">g L</w:t>
      </w:r>
      <m:oMath>
        <m:sSup>
          <m:e>
            <m:r>
              <m:t>​</m:t>
            </m:r>
          </m:e>
          <m:sup>
            <m:r>
              <m:rPr>
                <m:sty m:val="p"/>
              </m:rPr>
              <m:t>−</m:t>
            </m:r>
            <m:r>
              <m:t>1</m:t>
            </m:r>
          </m:sup>
        </m:sSup>
      </m:oMath>
      <w:r>
        <w:t xml:space="preserve">). Stations are arranged from north to south.</w:t>
      </w:r>
    </w:p>
    <w:tbl>
      <w:tblPr>
        <w:tblStyle w:val="Table"/>
        <w:tblW w:type="pct" w:w="0.0"/>
        <w:tblLook w:firstRow="1" w:lastRow="0" w:firstColumn="0" w:lastColumn="0" w:noHBand="0" w:noVBand="0" w:val="0020"/>
        <w:tblCaption w:val="Table 1: Station locations, sample sizes (from 1991 to 2019), and summary values (median, minimum, maximum) for chl-a (\mug L^{-1}). Stations are arranged from north to south."/>
      </w:tblPr>
      <w:tblGrid/>
      <w:tr>
        <w:tc>
          <w:p>
            <w:pPr>
              <w:pStyle w:val="Compact"/>
              <w:jc w:val="right"/>
            </w:pPr>
            <w:r>
              <w:t xml:space="preserve">Station</w:t>
            </w:r>
          </w:p>
        </w:tc>
        <w:tc>
          <w:p>
            <w:pPr>
              <w:pStyle w:val="Compact"/>
              <w:jc w:val="right"/>
            </w:pPr>
            <w:r>
              <w:t xml:space="preserve">Latitude</w:t>
            </w:r>
          </w:p>
        </w:tc>
        <w:tc>
          <w:p>
            <w:pPr>
              <w:pStyle w:val="Compact"/>
              <w:jc w:val="right"/>
            </w:pPr>
            <w:r>
              <w:t xml:space="preserve">Longitude</w:t>
            </w:r>
          </w:p>
        </w:tc>
        <w:tc>
          <w:p>
            <w:pPr>
              <w:pStyle w:val="Compact"/>
              <w:jc w:val="right"/>
            </w:pPr>
            <w:r>
              <w:t xml:space="preserve">n</w:t>
            </w:r>
          </w:p>
        </w:tc>
        <w:tc>
          <w:p>
            <w:pPr>
              <w:pStyle w:val="Compact"/>
              <w:jc w:val="right"/>
            </w:pPr>
            <w:r>
              <w:t xml:space="preserve">Med.</w:t>
            </w:r>
          </w:p>
        </w:tc>
        <w:tc>
          <w:p>
            <w:pPr>
              <w:pStyle w:val="Compact"/>
              <w:jc w:val="right"/>
            </w:pPr>
            <w:r>
              <w:t xml:space="preserve">Min.</w:t>
            </w:r>
          </w:p>
        </w:tc>
        <w:tc>
          <w:p>
            <w:pPr>
              <w:pStyle w:val="Compact"/>
              <w:jc w:val="right"/>
            </w:pPr>
            <w:r>
              <w:t xml:space="preserve">Max.</w:t>
            </w:r>
          </w:p>
        </w:tc>
      </w:tr>
      <w:tr>
        <w:tc>
          <w:p>
            <w:pPr>
              <w:pStyle w:val="Compact"/>
              <w:jc w:val="right"/>
            </w:pPr>
            <w:r>
              <w:t xml:space="preserve">18</w:t>
            </w:r>
          </w:p>
        </w:tc>
        <w:tc>
          <w:p>
            <w:pPr>
              <w:pStyle w:val="Compact"/>
              <w:jc w:val="right"/>
            </w:pPr>
            <w:r>
              <w:t xml:space="preserve">37.836</w:t>
            </w:r>
          </w:p>
        </w:tc>
        <w:tc>
          <w:p>
            <w:pPr>
              <w:pStyle w:val="Compact"/>
              <w:jc w:val="right"/>
            </w:pPr>
            <w:r>
              <w:t xml:space="preserve">-122.418</w:t>
            </w:r>
          </w:p>
        </w:tc>
        <w:tc>
          <w:p>
            <w:pPr>
              <w:pStyle w:val="Compact"/>
              <w:jc w:val="right"/>
            </w:pPr>
            <w:r>
              <w:t xml:space="preserve">414</w:t>
            </w:r>
          </w:p>
        </w:tc>
        <w:tc>
          <w:p>
            <w:pPr>
              <w:pStyle w:val="Compact"/>
              <w:jc w:val="right"/>
            </w:pPr>
            <w:r>
              <w:t xml:space="preserve">3.6</w:t>
            </w:r>
          </w:p>
        </w:tc>
        <w:tc>
          <w:p>
            <w:pPr>
              <w:pStyle w:val="Compact"/>
              <w:jc w:val="right"/>
            </w:pPr>
            <w:r>
              <w:t xml:space="preserve">0.2</w:t>
            </w:r>
          </w:p>
        </w:tc>
        <w:tc>
          <w:p>
            <w:pPr>
              <w:pStyle w:val="Compact"/>
              <w:jc w:val="right"/>
            </w:pPr>
            <w:r>
              <w:t xml:space="preserve">16.6</w:t>
            </w:r>
          </w:p>
        </w:tc>
      </w:tr>
      <w:tr>
        <w:tc>
          <w:p>
            <w:pPr>
              <w:pStyle w:val="Compact"/>
              <w:jc w:val="right"/>
            </w:pPr>
            <w:r>
              <w:t xml:space="preserve">21</w:t>
            </w:r>
          </w:p>
        </w:tc>
        <w:tc>
          <w:p>
            <w:pPr>
              <w:pStyle w:val="Compact"/>
              <w:jc w:val="right"/>
            </w:pPr>
            <w:r>
              <w:t xml:space="preserve">37.784</w:t>
            </w:r>
          </w:p>
        </w:tc>
        <w:tc>
          <w:p>
            <w:pPr>
              <w:pStyle w:val="Compact"/>
              <w:jc w:val="right"/>
            </w:pPr>
            <w:r>
              <w:t xml:space="preserve">-122.351</w:t>
            </w:r>
          </w:p>
        </w:tc>
        <w:tc>
          <w:p>
            <w:pPr>
              <w:pStyle w:val="Compact"/>
              <w:jc w:val="right"/>
            </w:pPr>
            <w:r>
              <w:t xml:space="preserve">576</w:t>
            </w:r>
          </w:p>
        </w:tc>
        <w:tc>
          <w:p>
            <w:pPr>
              <w:pStyle w:val="Compact"/>
              <w:jc w:val="right"/>
            </w:pPr>
            <w:r>
              <w:t xml:space="preserve">4.4</w:t>
            </w:r>
          </w:p>
        </w:tc>
        <w:tc>
          <w:p>
            <w:pPr>
              <w:pStyle w:val="Compact"/>
              <w:jc w:val="right"/>
            </w:pPr>
            <w:r>
              <w:t xml:space="preserve">0.6</w:t>
            </w:r>
          </w:p>
        </w:tc>
        <w:tc>
          <w:p>
            <w:pPr>
              <w:pStyle w:val="Compact"/>
              <w:jc w:val="right"/>
            </w:pPr>
            <w:r>
              <w:t xml:space="preserve">40.0</w:t>
            </w:r>
          </w:p>
        </w:tc>
      </w:tr>
      <w:tr>
        <w:tc>
          <w:p>
            <w:pPr>
              <w:pStyle w:val="Compact"/>
              <w:jc w:val="right"/>
            </w:pPr>
            <w:r>
              <w:t xml:space="preserve">22</w:t>
            </w:r>
          </w:p>
        </w:tc>
        <w:tc>
          <w:p>
            <w:pPr>
              <w:pStyle w:val="Compact"/>
              <w:jc w:val="right"/>
            </w:pPr>
            <w:r>
              <w:t xml:space="preserve">37.752</w:t>
            </w:r>
          </w:p>
        </w:tc>
        <w:tc>
          <w:p>
            <w:pPr>
              <w:pStyle w:val="Compact"/>
              <w:jc w:val="right"/>
            </w:pPr>
            <w:r>
              <w:t xml:space="preserve">-122.351</w:t>
            </w:r>
          </w:p>
        </w:tc>
        <w:tc>
          <w:p>
            <w:pPr>
              <w:pStyle w:val="Compact"/>
              <w:jc w:val="right"/>
            </w:pPr>
            <w:r>
              <w:t xml:space="preserve">569</w:t>
            </w:r>
          </w:p>
        </w:tc>
        <w:tc>
          <w:p>
            <w:pPr>
              <w:pStyle w:val="Compact"/>
              <w:jc w:val="right"/>
            </w:pPr>
            <w:r>
              <w:t xml:space="preserve">4.0</w:t>
            </w:r>
          </w:p>
        </w:tc>
        <w:tc>
          <w:p>
            <w:pPr>
              <w:pStyle w:val="Compact"/>
              <w:jc w:val="right"/>
            </w:pPr>
            <w:r>
              <w:t xml:space="preserve">0.7</w:t>
            </w:r>
          </w:p>
        </w:tc>
        <w:tc>
          <w:p>
            <w:pPr>
              <w:pStyle w:val="Compact"/>
              <w:jc w:val="right"/>
            </w:pPr>
            <w:r>
              <w:t xml:space="preserve">53.1</w:t>
            </w:r>
          </w:p>
        </w:tc>
      </w:tr>
      <w:tr>
        <w:tc>
          <w:p>
            <w:pPr>
              <w:pStyle w:val="Compact"/>
              <w:jc w:val="right"/>
            </w:pPr>
            <w:r>
              <w:t xml:space="preserve">24</w:t>
            </w:r>
          </w:p>
        </w:tc>
        <w:tc>
          <w:p>
            <w:pPr>
              <w:pStyle w:val="Compact"/>
              <w:jc w:val="right"/>
            </w:pPr>
            <w:r>
              <w:t xml:space="preserve">37.686</w:t>
            </w:r>
          </w:p>
        </w:tc>
        <w:tc>
          <w:p>
            <w:pPr>
              <w:pStyle w:val="Compact"/>
              <w:jc w:val="right"/>
            </w:pPr>
            <w:r>
              <w:t xml:space="preserve">-122.334</w:t>
            </w:r>
          </w:p>
        </w:tc>
        <w:tc>
          <w:p>
            <w:pPr>
              <w:pStyle w:val="Compact"/>
              <w:jc w:val="right"/>
            </w:pPr>
            <w:r>
              <w:t xml:space="preserve">595</w:t>
            </w:r>
          </w:p>
        </w:tc>
        <w:tc>
          <w:p>
            <w:pPr>
              <w:pStyle w:val="Compact"/>
              <w:jc w:val="right"/>
            </w:pPr>
            <w:r>
              <w:t xml:space="preserve">4.2</w:t>
            </w:r>
          </w:p>
        </w:tc>
        <w:tc>
          <w:p>
            <w:pPr>
              <w:pStyle w:val="Compact"/>
              <w:jc w:val="right"/>
            </w:pPr>
            <w:r>
              <w:t xml:space="preserve">0.7</w:t>
            </w:r>
          </w:p>
        </w:tc>
        <w:tc>
          <w:p>
            <w:pPr>
              <w:pStyle w:val="Compact"/>
              <w:jc w:val="right"/>
            </w:pPr>
            <w:r>
              <w:t xml:space="preserve">47.3</w:t>
            </w:r>
          </w:p>
        </w:tc>
      </w:tr>
      <w:tr>
        <w:tc>
          <w:p>
            <w:pPr>
              <w:pStyle w:val="Compact"/>
              <w:jc w:val="right"/>
            </w:pPr>
            <w:r>
              <w:t xml:space="preserve">27</w:t>
            </w:r>
          </w:p>
        </w:tc>
        <w:tc>
          <w:p>
            <w:pPr>
              <w:pStyle w:val="Compact"/>
              <w:jc w:val="right"/>
            </w:pPr>
            <w:r>
              <w:t xml:space="preserve">37.617</w:t>
            </w:r>
          </w:p>
        </w:tc>
        <w:tc>
          <w:p>
            <w:pPr>
              <w:pStyle w:val="Compact"/>
              <w:jc w:val="right"/>
            </w:pPr>
            <w:r>
              <w:t xml:space="preserve">-122.285</w:t>
            </w:r>
          </w:p>
        </w:tc>
        <w:tc>
          <w:p>
            <w:pPr>
              <w:pStyle w:val="Compact"/>
              <w:jc w:val="right"/>
            </w:pPr>
            <w:r>
              <w:t xml:space="preserve">596</w:t>
            </w:r>
          </w:p>
        </w:tc>
        <w:tc>
          <w:p>
            <w:pPr>
              <w:pStyle w:val="Compact"/>
              <w:jc w:val="right"/>
            </w:pPr>
            <w:r>
              <w:t xml:space="preserve">4.5</w:t>
            </w:r>
          </w:p>
        </w:tc>
        <w:tc>
          <w:p>
            <w:pPr>
              <w:pStyle w:val="Compact"/>
              <w:jc w:val="right"/>
            </w:pPr>
            <w:r>
              <w:t xml:space="preserve">0.5</w:t>
            </w:r>
          </w:p>
        </w:tc>
        <w:tc>
          <w:p>
            <w:pPr>
              <w:pStyle w:val="Compact"/>
              <w:jc w:val="right"/>
            </w:pPr>
            <w:r>
              <w:t xml:space="preserve">50.9</w:t>
            </w:r>
          </w:p>
        </w:tc>
      </w:tr>
      <w:tr>
        <w:tc>
          <w:p>
            <w:pPr>
              <w:pStyle w:val="Compact"/>
              <w:jc w:val="right"/>
            </w:pPr>
            <w:r>
              <w:t xml:space="preserve">30</w:t>
            </w:r>
          </w:p>
        </w:tc>
        <w:tc>
          <w:p>
            <w:pPr>
              <w:pStyle w:val="Compact"/>
              <w:jc w:val="right"/>
            </w:pPr>
            <w:r>
              <w:t xml:space="preserve">37.551</w:t>
            </w:r>
          </w:p>
        </w:tc>
        <w:tc>
          <w:p>
            <w:pPr>
              <w:pStyle w:val="Compact"/>
              <w:jc w:val="right"/>
            </w:pPr>
            <w:r>
              <w:t xml:space="preserve">-122.184</w:t>
            </w:r>
          </w:p>
        </w:tc>
        <w:tc>
          <w:p>
            <w:pPr>
              <w:pStyle w:val="Compact"/>
              <w:jc w:val="right"/>
            </w:pPr>
            <w:r>
              <w:t xml:space="preserve">608</w:t>
            </w:r>
          </w:p>
        </w:tc>
        <w:tc>
          <w:p>
            <w:pPr>
              <w:pStyle w:val="Compact"/>
              <w:jc w:val="right"/>
            </w:pPr>
            <w:r>
              <w:t xml:space="preserve">5.1</w:t>
            </w:r>
          </w:p>
        </w:tc>
        <w:tc>
          <w:p>
            <w:pPr>
              <w:pStyle w:val="Compact"/>
              <w:jc w:val="right"/>
            </w:pPr>
            <w:r>
              <w:t xml:space="preserve">0.8</w:t>
            </w:r>
          </w:p>
        </w:tc>
        <w:tc>
          <w:p>
            <w:pPr>
              <w:pStyle w:val="Compact"/>
              <w:jc w:val="right"/>
            </w:pPr>
            <w:r>
              <w:t xml:space="preserve">112.2</w:t>
            </w:r>
          </w:p>
        </w:tc>
      </w:tr>
      <w:tr>
        <w:tc>
          <w:p>
            <w:pPr>
              <w:pStyle w:val="Compact"/>
              <w:jc w:val="right"/>
            </w:pPr>
            <w:r>
              <w:t xml:space="preserve">32</w:t>
            </w:r>
          </w:p>
        </w:tc>
        <w:tc>
          <w:p>
            <w:pPr>
              <w:pStyle w:val="Compact"/>
              <w:jc w:val="right"/>
            </w:pPr>
            <w:r>
              <w:t xml:space="preserve">37.517</w:t>
            </w:r>
          </w:p>
        </w:tc>
        <w:tc>
          <w:p>
            <w:pPr>
              <w:pStyle w:val="Compact"/>
              <w:jc w:val="right"/>
            </w:pPr>
            <w:r>
              <w:t xml:space="preserve">-122.133</w:t>
            </w:r>
          </w:p>
        </w:tc>
        <w:tc>
          <w:p>
            <w:pPr>
              <w:pStyle w:val="Compact"/>
              <w:jc w:val="right"/>
            </w:pPr>
            <w:r>
              <w:t xml:space="preserve">591</w:t>
            </w:r>
          </w:p>
        </w:tc>
        <w:tc>
          <w:p>
            <w:pPr>
              <w:pStyle w:val="Compact"/>
              <w:jc w:val="right"/>
            </w:pPr>
            <w:r>
              <w:t xml:space="preserve">5.9</w:t>
            </w:r>
          </w:p>
        </w:tc>
        <w:tc>
          <w:p>
            <w:pPr>
              <w:pStyle w:val="Compact"/>
              <w:jc w:val="right"/>
            </w:pPr>
            <w:r>
              <w:t xml:space="preserve">0.7</w:t>
            </w:r>
          </w:p>
        </w:tc>
        <w:tc>
          <w:p>
            <w:pPr>
              <w:pStyle w:val="Compact"/>
              <w:jc w:val="right"/>
            </w:pPr>
            <w:r>
              <w:t xml:space="preserve">282.1</w:t>
            </w:r>
          </w:p>
        </w:tc>
      </w:tr>
      <w:tr>
        <w:tc>
          <w:p>
            <w:pPr>
              <w:pStyle w:val="Compact"/>
              <w:jc w:val="right"/>
            </w:pPr>
            <w:r>
              <w:t xml:space="preserve">34</w:t>
            </w:r>
          </w:p>
        </w:tc>
        <w:tc>
          <w:p>
            <w:pPr>
              <w:pStyle w:val="Compact"/>
              <w:jc w:val="right"/>
            </w:pPr>
            <w:r>
              <w:t xml:space="preserve">37.485</w:t>
            </w:r>
          </w:p>
        </w:tc>
        <w:tc>
          <w:p>
            <w:pPr>
              <w:pStyle w:val="Compact"/>
              <w:jc w:val="right"/>
            </w:pPr>
            <w:r>
              <w:t xml:space="preserve">-122.086</w:t>
            </w:r>
          </w:p>
        </w:tc>
        <w:tc>
          <w:p>
            <w:pPr>
              <w:pStyle w:val="Compact"/>
              <w:jc w:val="right"/>
            </w:pPr>
            <w:r>
              <w:t xml:space="preserve">544</w:t>
            </w:r>
          </w:p>
        </w:tc>
        <w:tc>
          <w:p>
            <w:pPr>
              <w:pStyle w:val="Compact"/>
              <w:jc w:val="right"/>
            </w:pPr>
            <w:r>
              <w:t xml:space="preserve">6.5</w:t>
            </w:r>
          </w:p>
        </w:tc>
        <w:tc>
          <w:p>
            <w:pPr>
              <w:pStyle w:val="Compact"/>
              <w:jc w:val="right"/>
            </w:pPr>
            <w:r>
              <w:t xml:space="preserve">0.6</w:t>
            </w:r>
          </w:p>
        </w:tc>
        <w:tc>
          <w:p>
            <w:pPr>
              <w:pStyle w:val="Compact"/>
              <w:jc w:val="right"/>
            </w:pPr>
            <w:r>
              <w:t xml:space="preserve">158.3</w:t>
            </w:r>
          </w:p>
        </w:tc>
      </w:tr>
      <w:tr>
        <w:tc>
          <w:p>
            <w:pPr>
              <w:pStyle w:val="Compact"/>
              <w:jc w:val="right"/>
            </w:pPr>
            <w:r>
              <w:t xml:space="preserve">36</w:t>
            </w:r>
          </w:p>
        </w:tc>
        <w:tc>
          <w:p>
            <w:pPr>
              <w:pStyle w:val="Compact"/>
              <w:jc w:val="right"/>
            </w:pPr>
            <w:r>
              <w:t xml:space="preserve">37.468</w:t>
            </w:r>
          </w:p>
        </w:tc>
        <w:tc>
          <w:p>
            <w:pPr>
              <w:pStyle w:val="Compact"/>
              <w:jc w:val="right"/>
            </w:pPr>
            <w:r>
              <w:t xml:space="preserve">-122.067</w:t>
            </w:r>
          </w:p>
        </w:tc>
        <w:tc>
          <w:p>
            <w:pPr>
              <w:pStyle w:val="Compact"/>
              <w:jc w:val="right"/>
            </w:pPr>
            <w:r>
              <w:t xml:space="preserve">476</w:t>
            </w:r>
          </w:p>
        </w:tc>
        <w:tc>
          <w:p>
            <w:pPr>
              <w:pStyle w:val="Compact"/>
              <w:jc w:val="right"/>
            </w:pPr>
            <w:r>
              <w:t xml:space="preserve">6.2</w:t>
            </w:r>
          </w:p>
        </w:tc>
        <w:tc>
          <w:p>
            <w:pPr>
              <w:pStyle w:val="Compact"/>
              <w:jc w:val="right"/>
            </w:pPr>
            <w:r>
              <w:t xml:space="preserve">1.1</w:t>
            </w:r>
          </w:p>
        </w:tc>
        <w:tc>
          <w:p>
            <w:pPr>
              <w:pStyle w:val="Compact"/>
              <w:jc w:val="right"/>
            </w:pPr>
            <w:r>
              <w:t xml:space="preserve">328.4</w:t>
            </w:r>
          </w:p>
        </w:tc>
      </w:tr>
    </w:tbl>
    <w:p/>
    <w:p>
      <w:pPr>
        <w:pStyle w:val="TableCaption"/>
      </w:pPr>
      <w:r>
        <w:t xml:space="preserve">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lastRow="0" w:firstColumn="0" w:lastColumn="0" w:noHBand="0" w:noVBand="0" w:val="0020"/>
        <w:tblCaption w:val="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04"/>
        <w:gridCol w:w="1987"/>
        <w:gridCol w:w="5728"/>
      </w:tblGrid>
      <w:tr>
        <w:tc>
          <w:p>
            <w:pPr>
              <w:pStyle w:val="Compact"/>
              <w:jc w:val="left"/>
            </w:pPr>
            <w:r>
              <w:t xml:space="preserve">GAM</w:t>
            </w:r>
          </w:p>
        </w:tc>
        <w:tc>
          <w:p>
            <w:pPr>
              <w:pStyle w:val="Compact"/>
              <w:jc w:val="left"/>
            </w:pPr>
            <w:r>
              <w:t xml:space="preserve">Additive components</w:t>
            </w:r>
          </w:p>
        </w:tc>
        <w:tc>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f_1(cont_year)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eta_0cont_year + f_1(cont_year)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eta_0cont_year + f_1(cont_year) + f_2(doy)</w:t>
            </w:r>
          </w:p>
        </w:tc>
        <w:tc>
          <w:p>
            <w:pPr>
              <w:pStyle w:val="Compact"/>
              <w:jc w:val="left"/>
            </w:pPr>
            <w:r>
              <w:t xml:space="preserve">A linear continuous year variable, a smoother over a continuous year variable, and a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eta_0cont_year + f_1(cont_year) + f_2(doy) + f_3(cont_year, doy)</w:t>
            </w:r>
          </w:p>
        </w:tc>
        <w:tc>
          <w:p>
            <w:pPr>
              <w:pStyle w:val="Compact"/>
              <w:jc w:val="left"/>
            </w:pPr>
            <w:r>
              <w:t xml:space="preserve">A linear continuous year variable, a smoother over a continuous year variable, a smoother over a day of year variable, and an interaction smoother across continuous year and day of year variables</w:t>
            </w:r>
          </w:p>
        </w:tc>
      </w:tr>
    </w:tbl>
    <w:p/>
    <w:p>
      <w:pPr>
        <w:pStyle w:val="TableCaption"/>
      </w:pPr>
      <w:r>
        <w:t xml:space="preserve">Table 3: 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w:t>
      </w:r>
    </w:p>
    <w:tbl>
      <w:tblPr>
        <w:tblStyle w:val="Table"/>
        <w:tblW w:type="pct" w:w="0.0"/>
        <w:tblLook w:firstRow="1" w:lastRow="0" w:firstColumn="0" w:lastColumn="0" w:noHBand="0" w:noVBand="0" w:val="0020"/>
        <w:tblCaption w:val="Table 3: 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
      </w:tblPr>
      <w:tblGrid/>
      <w:tr>
        <w:tc>
          <w:p>
            <w:pPr>
              <w:pStyle w:val="Compact"/>
              <w:jc w:val="left"/>
            </w:pPr>
            <w:r>
              <w:t xml:space="preserve">model</w:t>
            </w:r>
          </w:p>
        </w:tc>
        <w:tc>
          <w:p>
            <w:pPr>
              <w:pStyle w:val="Compact"/>
              <w:jc w:val="left"/>
            </w:pPr>
            <w:r>
              <w:t xml:space="preserve">AIC</w:t>
            </w:r>
          </w:p>
        </w:tc>
        <w:tc>
          <w:p>
            <w:pPr>
              <w:pStyle w:val="Compact"/>
              <w:jc w:val="left"/>
            </w:pPr>
            <w:r>
              <w:t xml:space="preserve">GCV</w:t>
            </w:r>
          </w:p>
        </w:tc>
        <w:tc>
          <w:p>
            <w:pPr>
              <w:pStyle w:val="Compact"/>
              <w:jc w:val="left"/>
            </w:pPr>
            <w:r>
              <w:t xml:space="preserve">R2</w:t>
            </w:r>
          </w:p>
        </w:tc>
        <w:tc>
          <w:p>
            <w:pPr>
              <w:pStyle w:val="Compact"/>
              <w:jc w:val="left"/>
            </w:pPr>
            <w:r>
              <w:t xml:space="preserve">smoother</w:t>
            </w:r>
          </w:p>
        </w:tc>
        <w:tc>
          <w:p>
            <w:pPr>
              <w:pStyle w:val="Compact"/>
              <w:jc w:val="right"/>
            </w:pPr>
            <w:r>
              <w:t xml:space="preserve">edf</w:t>
            </w:r>
          </w:p>
        </w:tc>
        <w:tc>
          <w:p>
            <w:pPr>
              <w:pStyle w:val="Compact"/>
              <w:jc w:val="right"/>
            </w:pPr>
            <w:r>
              <w:t xml:space="preserve">F</w:t>
            </w:r>
          </w:p>
        </w:tc>
        <w:tc>
          <w:p>
            <w:pPr>
              <w:pStyle w:val="Compact"/>
              <w:jc w:val="left"/>
            </w:pPr>
            <w:r>
              <w:t xml:space="preserve">p-val</w:t>
            </w:r>
          </w:p>
        </w:tc>
      </w:tr>
      <w:tr>
        <w:tc>
          <w:p>
            <w:pPr>
              <w:pStyle w:val="Compact"/>
              <w:jc w:val="left"/>
            </w:pPr>
            <w:r>
              <w:t xml:space="preserve">S</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-135.66</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-123.57</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
      <w:pPr>
        <w:pStyle w:val="TableCaption"/>
      </w:pPr>
      <w:r>
        <w:t xml:space="preserve">Table 4: Model performance statistics for each station as Akaike Information Criterion scores (AIC), generalized cross-validation scores (GCV), and r-squared values.</w:t>
      </w:r>
    </w:p>
    <w:tbl>
      <w:tblPr>
        <w:tblStyle w:val="Table"/>
        <w:tblW w:type="pct" w:w="0.0"/>
        <w:tblLook w:firstRow="1" w:lastRow="0" w:firstColumn="0" w:lastColumn="0" w:noHBand="0" w:noVBand="0" w:val="0020"/>
        <w:tblCaption w:val="Table 4: Model performance statistics for each station as Akaike Information Criterion scores (AIC), generalized cross-validation scores (GCV), and r-squared values."/>
      </w:tblPr>
      <w:tblGrid/>
      <w:tr>
        <w:tc>
          <w:p>
            <w:pPr>
              <w:pStyle w:val="Compact"/>
              <w:jc w:val="left"/>
            </w:pPr>
            <w:r>
              <w:t xml:space="preserve">station</w:t>
            </w:r>
          </w:p>
        </w:tc>
        <w:tc>
          <w:p>
            <w:pPr>
              <w:pStyle w:val="Compact"/>
              <w:jc w:val="right"/>
            </w:pPr>
            <w:r>
              <w:t xml:space="preserve">AIC</w:t>
            </w:r>
          </w:p>
        </w:tc>
        <w:tc>
          <w:p>
            <w:pPr>
              <w:pStyle w:val="Compact"/>
              <w:jc w:val="right"/>
            </w:pPr>
            <w:r>
              <w:t xml:space="preserve">GCV</w:t>
            </w:r>
          </w:p>
        </w:tc>
        <w:tc>
          <w:p>
            <w:pPr>
              <w:pStyle w:val="Compact"/>
              <w:jc w:val="right"/>
            </w:pPr>
            <w:r>
              <w:t xml:space="preserve">R-squared</w:t>
            </w:r>
          </w:p>
        </w:tc>
      </w:tr>
      <w:tr>
        <w:tc>
          <w:p>
            <w:pPr>
              <w:pStyle w:val="Compact"/>
              <w:jc w:val="left"/>
            </w:pPr>
            <w:r>
              <w:t xml:space="preserve">18</w:t>
            </w:r>
          </w:p>
        </w:tc>
        <w:tc>
          <w:p>
            <w:pPr>
              <w:pStyle w:val="Compact"/>
              <w:jc w:val="right"/>
            </w:pPr>
            <w:r>
              <w:t xml:space="preserve">-430.94</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-305.93</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-160.07</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-250.77</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-188.72</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-172.79</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-138.20</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-3.17</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-22.05</w:t>
            </w:r>
          </w:p>
        </w:tc>
        <w:tc>
          <w:p>
            <w:pPr>
              <w:pStyle w:val="Compact"/>
              <w:jc w:val="right"/>
            </w:pPr>
            <w:r>
              <w:t xml:space="preserve">0.07</w:t>
            </w:r>
          </w:p>
        </w:tc>
        <w:tc>
          <w:p>
            <w:pPr>
              <w:pStyle w:val="Compact"/>
              <w:jc w:val="right"/>
            </w:pPr>
            <w:r>
              <w:t xml:space="preserve">0.73</w:t>
            </w:r>
          </w:p>
        </w:tc>
      </w:tr>
    </w:tbl>
    <w:bookmarkEnd w:id="54"/>
    <w:bookmarkStart w:id="131" w:name="references"/>
    <w:p>
      <w:pPr>
        <w:pStyle w:val="Heading1"/>
      </w:pPr>
      <w:r>
        <w:t xml:space="preserve">References</w:t>
      </w:r>
    </w:p>
    <w:bookmarkStart w:id="130" w:name="refs"/>
    <w:bookmarkStart w:id="55" w:name="ref-Alpine88"/>
    <w:p>
      <w:pPr>
        <w:pStyle w:val="Bibliography"/>
      </w:pPr>
      <w:r>
        <w:t xml:space="preserve">Alpine, A.E., Cloern, J.E., 1988. Phytoplankton growth rates in a light-limited environment,</w:t>
      </w:r>
      <w:r>
        <w:t xml:space="preserve"> </w:t>
      </w:r>
      <w:r>
        <w:t xml:space="preserve">S</w:t>
      </w:r>
      <w:r>
        <w:t xml:space="preserve">an</w:t>
      </w:r>
      <w:r>
        <w:t xml:space="preserve"> </w:t>
      </w:r>
      <w:r>
        <w:t xml:space="preserve">F</w:t>
      </w:r>
      <w:r>
        <w:t xml:space="preserve">rancisco</w:t>
      </w:r>
      <w:r>
        <w:t xml:space="preserve"> </w:t>
      </w:r>
      <w:r>
        <w:t xml:space="preserve">B</w:t>
      </w:r>
      <w:r>
        <w:t xml:space="preserve">ay. Marine Ecology Progress Series 44, 167–173.</w:t>
      </w:r>
    </w:p>
    <w:bookmarkEnd w:id="55"/>
    <w:bookmarkStart w:id="56" w:name="ref-Beck21"/>
    <w:p>
      <w:pPr>
        <w:pStyle w:val="Bibliography"/>
      </w:pPr>
      <w:r>
        <w:t xml:space="preserve">Beck, M.W., de Valpine, P., Murpy, R., Wren, I., Chelsky, A., Foley, M., Senn, D., 2021.</w:t>
      </w:r>
      <w:r>
        <w:t xml:space="preserve"> </w:t>
      </w:r>
      <w:r>
        <w:t xml:space="preserve">tbep-tech/wqtrends: v1.1.0 (Version v1.1.0). Zenodo. http://doi.org/10.5281/zenodo.4509638</w:t>
      </w:r>
      <w:r>
        <w:t xml:space="preserve">.</w:t>
      </w:r>
    </w:p>
    <w:bookmarkEnd w:id="56"/>
    <w:bookmarkStart w:id="58" w:name="ref-Beck15"/>
    <w:p>
      <w:pPr>
        <w:pStyle w:val="Bibliography"/>
      </w:pPr>
      <w:r>
        <w:t xml:space="preserve">Beck, M.W., Hagy, J.D., III, 2015. Adaptation of a weighted regression approach to evaluate water quality trends in an estuary. Environmental Modelling and Assessment 20, 637–655.</w:t>
      </w:r>
      <w:r>
        <w:t xml:space="preserve"> </w:t>
      </w:r>
      <w:hyperlink r:id="rId57">
        <w:r>
          <w:rPr>
            <w:rStyle w:val="Hyperlink"/>
          </w:rPr>
          <w:t xml:space="preserve">https://doi.org/10.1007/s10666-015-9452-8</w:t>
        </w:r>
      </w:hyperlink>
    </w:p>
    <w:bookmarkEnd w:id="58"/>
    <w:bookmarkStart w:id="60" w:name="ref-Beck18b"/>
    <w:p>
      <w:pPr>
        <w:pStyle w:val="Bibliography"/>
      </w:pPr>
      <w:r>
        <w:t xml:space="preserve">Beck, M.W., Jabusch, T.W., Trowbridge, P.R., Senn, D.B., 2018. Four decades of water quality change in the upper</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212, 11–22.</w:t>
      </w:r>
      <w:r>
        <w:t xml:space="preserve"> </w:t>
      </w:r>
      <w:hyperlink r:id="rId59">
        <w:r>
          <w:rPr>
            <w:rStyle w:val="Hyperlink"/>
          </w:rPr>
          <w:t xml:space="preserve">https://doi.org/10.1016/j.ecss.2018.06.021</w:t>
        </w:r>
      </w:hyperlink>
    </w:p>
    <w:bookmarkEnd w:id="60"/>
    <w:bookmarkStart w:id="62" w:name="ref-Beck17"/>
    <w:p>
      <w:pPr>
        <w:pStyle w:val="Bibliography"/>
      </w:pPr>
      <w:r>
        <w:t xml:space="preserve">Beck, M.W., Murphy, R.R., 2017. Numerical and qualitative contrasts of two statistical models for water quality change in tidal waters. Journal of the American Water Resources Association 53, 197–219.</w:t>
      </w:r>
      <w:r>
        <w:t xml:space="preserve"> </w:t>
      </w:r>
      <w:hyperlink r:id="rId61">
        <w:r>
          <w:rPr>
            <w:rStyle w:val="Hyperlink"/>
          </w:rPr>
          <w:t xml:space="preserve">https://doi.org/10.1111/1752-1688.12489</w:t>
        </w:r>
      </w:hyperlink>
    </w:p>
    <w:bookmarkEnd w:id="62"/>
    <w:bookmarkStart w:id="63" w:name="ref-Cleveland90"/>
    <w:p>
      <w:pPr>
        <w:pStyle w:val="Bibliography"/>
      </w:pPr>
      <w:r>
        <w:t xml:space="preserve">Cleveland, R.B., Cleveland, W.S., McRae, J.E., Terpenning, I., 1990.</w:t>
      </w:r>
      <w:r>
        <w:t xml:space="preserve"> </w:t>
      </w:r>
      <w:r>
        <w:t xml:space="preserve">STL</w:t>
      </w:r>
      <w:r>
        <w:t xml:space="preserve">: A seasonal-trend decomposition procedure based on</w:t>
      </w:r>
      <w:r>
        <w:t xml:space="preserve"> </w:t>
      </w:r>
      <w:r>
        <w:t xml:space="preserve">L</w:t>
      </w:r>
      <w:r>
        <w:t xml:space="preserve">oess. Journal of Official Statistics 6, 3–73.</w:t>
      </w:r>
    </w:p>
    <w:bookmarkEnd w:id="63"/>
    <w:bookmarkStart w:id="65" w:name="ref-Cloern12"/>
    <w:p>
      <w:pPr>
        <w:pStyle w:val="Bibliography"/>
      </w:pPr>
      <w:r>
        <w:t xml:space="preserve">Cloern, J.E., Jassby, A.D., 2012. Drivers of change in estuarine-coastal ecosystems: Discoveries from four decades of study in</w:t>
      </w:r>
      <w:r>
        <w:t xml:space="preserve"> </w:t>
      </w:r>
      <w:r>
        <w:t xml:space="preserve">S</w:t>
      </w:r>
      <w:r>
        <w:t xml:space="preserve">an</w:t>
      </w:r>
      <w:r>
        <w:t xml:space="preserve"> </w:t>
      </w:r>
      <w:r>
        <w:t xml:space="preserve">F</w:t>
      </w:r>
      <w:r>
        <w:t xml:space="preserve">rancisco</w:t>
      </w:r>
      <w:r>
        <w:t xml:space="preserve"> </w:t>
      </w:r>
      <w:r>
        <w:t xml:space="preserve">B</w:t>
      </w:r>
      <w:r>
        <w:t xml:space="preserve">ay. Reviews of Geophysics 50.</w:t>
      </w:r>
      <w:r>
        <w:t xml:space="preserve"> </w:t>
      </w:r>
      <w:hyperlink r:id="rId64">
        <w:r>
          <w:rPr>
            <w:rStyle w:val="Hyperlink"/>
          </w:rPr>
          <w:t xml:space="preserve">https://doi.org/10.1029/2012RG000397</w:t>
        </w:r>
      </w:hyperlink>
    </w:p>
    <w:bookmarkEnd w:id="65"/>
    <w:bookmarkStart w:id="66" w:name="ref-Cloern10"/>
    <w:p>
      <w:pPr>
        <w:pStyle w:val="Bibliography"/>
      </w:pPr>
      <w:r>
        <w:t xml:space="preserve">Cloern, J.E., Jassby, A.D., 2010. Patterns and scales of phytoplankton variability in estuarine-coastal ecosystems. Estuaries and Coasts 33, 230–241.</w:t>
      </w:r>
    </w:p>
    <w:bookmarkEnd w:id="66"/>
    <w:bookmarkStart w:id="67" w:name="ref-Cloern07"/>
    <w:p>
      <w:pPr>
        <w:pStyle w:val="Bibliography"/>
      </w:pPr>
      <w:r>
        <w:t xml:space="preserve">Cloern, J.E., Jassby, A.D., Thompson, J.K., Hieb, K.A., 2007. A cold phase of the</w:t>
      </w:r>
      <w:r>
        <w:t xml:space="preserve"> </w:t>
      </w:r>
      <w:r>
        <w:t xml:space="preserve">E</w:t>
      </w:r>
      <w:r>
        <w:t xml:space="preserve">ast</w:t>
      </w:r>
      <w:r>
        <w:t xml:space="preserve"> </w:t>
      </w:r>
      <w:r>
        <w:t xml:space="preserve">P</w:t>
      </w:r>
      <w:r>
        <w:t xml:space="preserve">acific triggers new phytoplankton blooms in</w:t>
      </w:r>
      <w:r>
        <w:t xml:space="preserve"> </w:t>
      </w:r>
      <w:r>
        <w:t xml:space="preserve">S</w:t>
      </w:r>
      <w:r>
        <w:t xml:space="preserve">an</w:t>
      </w:r>
      <w:r>
        <w:t xml:space="preserve"> </w:t>
      </w:r>
      <w:r>
        <w:t xml:space="preserve">F</w:t>
      </w:r>
      <w:r>
        <w:t xml:space="preserve">rancisco</w:t>
      </w:r>
      <w:r>
        <w:t xml:space="preserve"> </w:t>
      </w:r>
      <w:r>
        <w:t xml:space="preserve">B</w:t>
      </w:r>
      <w:r>
        <w:t xml:space="preserve">ay. Proceedings of the National Academy of Sciences of the United States of America 104, 18561–18565.</w:t>
      </w:r>
    </w:p>
    <w:bookmarkEnd w:id="67"/>
    <w:bookmarkStart w:id="68" w:name="ref-Cloern16"/>
    <w:p>
      <w:pPr>
        <w:pStyle w:val="Bibliography"/>
      </w:pPr>
      <w:r>
        <w:t xml:space="preserve">Cloern, J.E., Schraga, T.S., 2016.</w:t>
      </w:r>
      <w:r>
        <w:t xml:space="preserve"> </w:t>
      </w:r>
      <w:r>
        <w:t xml:space="preserve">USGS measurements of water quality in San Francisco</w:t>
      </w:r>
      <w:r>
        <w:t xml:space="preserve"> </w:t>
      </w:r>
      <w:r>
        <w:t xml:space="preserve">B</w:t>
      </w:r>
      <w:r>
        <w:t xml:space="preserve">ay (CA), 1969-2015: U.S. Geological Survey data release. https://doi.org/10.5066/F7TQ5ZPR</w:t>
      </w:r>
      <w:r>
        <w:t xml:space="preserve">.</w:t>
      </w:r>
    </w:p>
    <w:bookmarkEnd w:id="68"/>
    <w:bookmarkStart w:id="70" w:name="ref-Cloern20"/>
    <w:p>
      <w:pPr>
        <w:pStyle w:val="Bibliography"/>
      </w:pPr>
      <w:r>
        <w:t xml:space="preserve">Cloern, J.E., Shcraga, T.S., Nejad, E., Martin, C., 2020. Nutrient status of</w:t>
      </w:r>
      <w:r>
        <w:t xml:space="preserve"> </w:t>
      </w:r>
      <w:r>
        <w:t xml:space="preserve">S</w:t>
      </w:r>
      <w:r>
        <w:t xml:space="preserve">an</w:t>
      </w:r>
      <w:r>
        <w:t xml:space="preserve"> </w:t>
      </w:r>
      <w:r>
        <w:t xml:space="preserve">F</w:t>
      </w:r>
      <w:r>
        <w:t xml:space="preserve">rancisco</w:t>
      </w:r>
      <w:r>
        <w:t xml:space="preserve"> </w:t>
      </w:r>
      <w:r>
        <w:t xml:space="preserve">B</w:t>
      </w:r>
      <w:r>
        <w:t xml:space="preserve">ay and its management implications. Estuaries &amp; Coasts 43, 1299–1317.</w:t>
      </w:r>
      <w:r>
        <w:t xml:space="preserve"> </w:t>
      </w:r>
      <w:hyperlink r:id="rId69">
        <w:r>
          <w:rPr>
            <w:rStyle w:val="Hyperlink"/>
          </w:rPr>
          <w:t xml:space="preserve">https://doi.org/10.1007/s12237-020-00737-w</w:t>
        </w:r>
      </w:hyperlink>
    </w:p>
    <w:bookmarkEnd w:id="70"/>
    <w:bookmarkStart w:id="71" w:name="ref-Cole84"/>
    <w:p>
      <w:pPr>
        <w:pStyle w:val="Bibliography"/>
      </w:pPr>
      <w:r>
        <w:t xml:space="preserve">Cole, B.E., Cloern, J.E., 1984. Significance of biomass and light availability to phytoplankton productivity in</w:t>
      </w:r>
      <w:r>
        <w:t xml:space="preserve"> </w:t>
      </w:r>
      <w:r>
        <w:t xml:space="preserve">S</w:t>
      </w:r>
      <w:r>
        <w:t xml:space="preserve">an</w:t>
      </w:r>
      <w:r>
        <w:t xml:space="preserve"> </w:t>
      </w:r>
      <w:r>
        <w:t xml:space="preserve">F</w:t>
      </w:r>
      <w:r>
        <w:t xml:space="preserve">rancisco</w:t>
      </w:r>
      <w:r>
        <w:t xml:space="preserve"> </w:t>
      </w:r>
      <w:r>
        <w:t xml:space="preserve">B</w:t>
      </w:r>
      <w:r>
        <w:t xml:space="preserve">ay. Marine Ecology Progress Series 17, 15–24.</w:t>
      </w:r>
    </w:p>
    <w:bookmarkEnd w:id="71"/>
    <w:bookmarkStart w:id="72" w:name="ref-Cumming06"/>
    <w:p>
      <w:pPr>
        <w:pStyle w:val="Bibliography"/>
      </w:pPr>
      <w:r>
        <w:t xml:space="preserve">Cumming, G.S., Cumming, D.H.M., Redman, C.L., 2006. Scale mismatches in social-ecological systems: Causes, consequences, and solutions. Ecology and Society 11, 14.</w:t>
      </w:r>
    </w:p>
    <w:bookmarkEnd w:id="72"/>
    <w:bookmarkStart w:id="74" w:name="ref-Forbes18"/>
    <w:p>
      <w:pPr>
        <w:pStyle w:val="Bibliography"/>
      </w:pPr>
      <w:r>
        <w:t xml:space="preserve">Forbes, D.J., Xie, Z., 2018. Identifying process scales in the</w:t>
      </w:r>
      <w:r>
        <w:t xml:space="preserve"> </w:t>
      </w:r>
      <w:r>
        <w:t xml:space="preserve">I</w:t>
      </w:r>
      <w:r>
        <w:t xml:space="preserve">ndian</w:t>
      </w:r>
      <w:r>
        <w:t xml:space="preserve"> </w:t>
      </w:r>
      <w:r>
        <w:t xml:space="preserve">R</w:t>
      </w:r>
      <w:r>
        <w:t xml:space="preserve">iver</w:t>
      </w:r>
      <w:r>
        <w:t xml:space="preserve"> </w:t>
      </w:r>
      <w:r>
        <w:t xml:space="preserve">L</w:t>
      </w:r>
      <w:r>
        <w:t xml:space="preserve">agoon,</w:t>
      </w:r>
      <w:r>
        <w:t xml:space="preserve"> </w:t>
      </w:r>
      <w:r>
        <w:t xml:space="preserve">F</w:t>
      </w:r>
      <w:r>
        <w:t xml:space="preserve">lorida using wavelet transform analysis of dissolved oxygen. Ecological Complexity 36, 149–167.</w:t>
      </w:r>
      <w:r>
        <w:t xml:space="preserve"> </w:t>
      </w:r>
      <w:hyperlink r:id="rId73">
        <w:r>
          <w:rPr>
            <w:rStyle w:val="Hyperlink"/>
          </w:rPr>
          <w:t xml:space="preserve">https://doi.org/10.1016/j.ecocom.2018.07.005</w:t>
        </w:r>
      </w:hyperlink>
    </w:p>
    <w:bookmarkEnd w:id="74"/>
    <w:bookmarkStart w:id="76" w:name="ref-Gasparrini12"/>
    <w:p>
      <w:pPr>
        <w:pStyle w:val="Bibliography"/>
      </w:pPr>
      <w:r>
        <w:t xml:space="preserve">Gasparrini, A., Armstrong, B., Kenward, M.G., 2012. Multivariate meta-analysis for non-linear and other multi-parameter associations. Statistics in Medicine 31, 3821–3839.</w:t>
      </w:r>
      <w:r>
        <w:t xml:space="preserve"> </w:t>
      </w:r>
      <w:hyperlink r:id="rId75">
        <w:r>
          <w:rPr>
            <w:rStyle w:val="Hyperlink"/>
          </w:rPr>
          <w:t xml:space="preserve">https://doi.org/10.1002/sim.5471</w:t>
        </w:r>
      </w:hyperlink>
    </w:p>
    <w:bookmarkEnd w:id="76"/>
    <w:bookmarkStart w:id="77" w:name="ref-Hafen10"/>
    <w:p>
      <w:pPr>
        <w:pStyle w:val="Bibliography"/>
      </w:pPr>
      <w:r>
        <w:t xml:space="preserve">Hafen, R.P., 2010. Local regression models: Advancements, applications, and new methods (PhD thesis). Purdue University, West Lafayette, Indiana.</w:t>
      </w:r>
    </w:p>
    <w:bookmarkEnd w:id="77"/>
    <w:bookmarkStart w:id="78" w:name="ref-Haraguchi15"/>
    <w:p>
      <w:pPr>
        <w:pStyle w:val="Bibliography"/>
      </w:pPr>
      <w:r>
        <w:t xml:space="preserve">Haraguchi, L., Carstensen, J., Abreu, P.C., Odebrecht, C., 2015. Long-term changes of the phytoplankton community and biomass in the subtropical shallow</w:t>
      </w:r>
      <w:r>
        <w:t xml:space="preserve"> </w:t>
      </w:r>
      <w:r>
        <w:t xml:space="preserve">P</w:t>
      </w:r>
      <w:r>
        <w:t xml:space="preserve">atos</w:t>
      </w:r>
      <w:r>
        <w:t xml:space="preserve"> </w:t>
      </w:r>
      <w:r>
        <w:t xml:space="preserve">L</w:t>
      </w:r>
      <w:r>
        <w:t xml:space="preserve">agoon</w:t>
      </w:r>
      <w:r>
        <w:t xml:space="preserve"> </w:t>
      </w:r>
      <w:r>
        <w:t xml:space="preserve">E</w:t>
      </w:r>
      <w:r>
        <w:t xml:space="preserve">stuary,</w:t>
      </w:r>
      <w:r>
        <w:t xml:space="preserve"> </w:t>
      </w:r>
      <w:r>
        <w:t xml:space="preserve">B</w:t>
      </w:r>
      <w:r>
        <w:t xml:space="preserve">razil. Estuarine, Coastal and Shelf Science 162, 76–87.</w:t>
      </w:r>
    </w:p>
    <w:bookmarkEnd w:id="78"/>
    <w:bookmarkStart w:id="80" w:name="ref-He06"/>
    <w:p>
      <w:pPr>
        <w:pStyle w:val="Bibliography"/>
      </w:pPr>
      <w:r>
        <w:t xml:space="preserve">He, S., Mazumdar, S., Arena, V.C., 2006. A comparative study of the use of</w:t>
      </w:r>
      <w:r>
        <w:t xml:space="preserve"> </w:t>
      </w:r>
      <w:r>
        <w:t xml:space="preserve">GAM</w:t>
      </w:r>
      <w:r>
        <w:t xml:space="preserve"> </w:t>
      </w:r>
      <w:r>
        <w:t xml:space="preserve">and</w:t>
      </w:r>
      <w:r>
        <w:t xml:space="preserve"> </w:t>
      </w:r>
      <w:r>
        <w:t xml:space="preserve">GLM</w:t>
      </w:r>
      <w:r>
        <w:t xml:space="preserve"> </w:t>
      </w:r>
      <w:r>
        <w:t xml:space="preserve">in air pollution research. Environmetrics 17, 81–93.</w:t>
      </w:r>
      <w:r>
        <w:t xml:space="preserve"> </w:t>
      </w:r>
      <w:hyperlink r:id="rId79">
        <w:r>
          <w:rPr>
            <w:rStyle w:val="Hyperlink"/>
          </w:rPr>
          <w:t xml:space="preserve">https://doi.org/10.1002/env.751</w:t>
        </w:r>
      </w:hyperlink>
    </w:p>
    <w:bookmarkEnd w:id="80"/>
    <w:bookmarkStart w:id="81" w:name="ref-Helsel20"/>
    <w:p>
      <w:pPr>
        <w:pStyle w:val="Bibliography"/>
      </w:pPr>
      <w:r>
        <w:t xml:space="preserve">Helsel, D.R., Hirsch, R.M., Ryberg, K.R., Archfield, S.A., Gilroy, E.J., 2020. Statistical methods in water resources, 2nd ed.</w:t>
      </w:r>
      <w:r>
        <w:t xml:space="preserve"> </w:t>
      </w:r>
      <w:r>
        <w:t xml:space="preserve">U.S.</w:t>
      </w:r>
      <w:r>
        <w:t xml:space="preserve"> </w:t>
      </w:r>
      <w:r>
        <w:t xml:space="preserve">Geological Survey Techniques; Methods, book 4, chapter A3, version 1.1, Reston, Virginia.</w:t>
      </w:r>
    </w:p>
    <w:bookmarkEnd w:id="81"/>
    <w:bookmarkStart w:id="83" w:name="ref-Hirsch15"/>
    <w:p>
      <w:pPr>
        <w:pStyle w:val="Bibliography"/>
      </w:pPr>
      <w:r>
        <w:t xml:space="preserve">Hirsch, R.M., Archfield, S.A., De Cicco, L.A., 2015. A bootstrap method for estimating uncertainty of water quality trends. Environmental Modelling and Software 73, 148–166.</w:t>
      </w:r>
      <w:r>
        <w:t xml:space="preserve"> </w:t>
      </w:r>
      <w:hyperlink r:id="rId82">
        <w:r>
          <w:rPr>
            <w:rStyle w:val="Hyperlink"/>
          </w:rPr>
          <w:t xml:space="preserve">https://doi.org/10.1016/j.envsoft.2015.07.017</w:t>
        </w:r>
      </w:hyperlink>
    </w:p>
    <w:bookmarkEnd w:id="83"/>
    <w:bookmarkStart w:id="84" w:name="ref-Hirsch10"/>
    <w:p>
      <w:pPr>
        <w:pStyle w:val="Bibliography"/>
      </w:pPr>
      <w:r>
        <w:t xml:space="preserve">Hirsch, R.M., Moyer, D.L., Archfield, S.A., 2010. Weighted regressions on time, discharge, and season (</w:t>
      </w:r>
      <w:r>
        <w:t xml:space="preserve">WRTDS</w:t>
      </w:r>
      <w:r>
        <w:t xml:space="preserve">), with an application to</w:t>
      </w:r>
      <w:r>
        <w:t xml:space="preserve"> </w:t>
      </w:r>
      <w:r>
        <w:t xml:space="preserve">C</w:t>
      </w:r>
      <w:r>
        <w:t xml:space="preserve">hesapeake</w:t>
      </w:r>
      <w:r>
        <w:t xml:space="preserve"> </w:t>
      </w:r>
      <w:r>
        <w:t xml:space="preserve">B</w:t>
      </w:r>
      <w:r>
        <w:t xml:space="preserve">ay river inputs. Journal of the American Water Resources Association 46, 857–880.</w:t>
      </w:r>
    </w:p>
    <w:bookmarkEnd w:id="84"/>
    <w:bookmarkStart w:id="85" w:name="ref-Hirsch82"/>
    <w:p>
      <w:pPr>
        <w:pStyle w:val="Bibliography"/>
      </w:pPr>
      <w:r>
        <w:t xml:space="preserve">Hirsch, R.M., Slack, J.R., Smith, R.A., 1982. Techniques of trend analysis for monthly water quality data. Water Resources Research 18, 107–121.</w:t>
      </w:r>
    </w:p>
    <w:bookmarkEnd w:id="85"/>
    <w:bookmarkStart w:id="86" w:name="ref-Jassby08"/>
    <w:p>
      <w:pPr>
        <w:pStyle w:val="Bibliography"/>
      </w:pPr>
      <w:r>
        <w:t xml:space="preserve">Jassby, A.D., 2008. Phytoplankton in the</w:t>
      </w:r>
      <w:r>
        <w:t xml:space="preserve"> </w:t>
      </w:r>
      <w:r>
        <w:t xml:space="preserve">U</w:t>
      </w:r>
      <w:r>
        <w:t xml:space="preserve">pper</w:t>
      </w:r>
      <w:r>
        <w:t xml:space="preserve"> </w:t>
      </w:r>
      <w:r>
        <w:t xml:space="preserve">S</w:t>
      </w:r>
      <w:r>
        <w:t xml:space="preserve">an</w:t>
      </w:r>
      <w:r>
        <w:t xml:space="preserve"> </w:t>
      </w:r>
      <w:r>
        <w:t xml:space="preserve">F</w:t>
      </w:r>
      <w:r>
        <w:t xml:space="preserve">rancisco</w:t>
      </w:r>
      <w:r>
        <w:t xml:space="preserve"> </w:t>
      </w:r>
      <w:r>
        <w:t xml:space="preserve">E</w:t>
      </w:r>
      <w:r>
        <w:t xml:space="preserve">stuary: Recent biomass trends, their causes, and their trophic significance. San Francisco Estuary and Watershed Science 6, 1–24.</w:t>
      </w:r>
    </w:p>
    <w:bookmarkEnd w:id="86"/>
    <w:bookmarkStart w:id="87" w:name="ref-Jassby02"/>
    <w:p>
      <w:pPr>
        <w:pStyle w:val="Bibliography"/>
      </w:pPr>
      <w:r>
        <w:t xml:space="preserve">Jassby, A.D., Cloern, J.E., Cole, B.E., 2002. Annual primary production: Patterns and mechanisms of change in a nutrient-rich tidal ecosystem. Limnology and Oceanography 47, 698–712.</w:t>
      </w:r>
    </w:p>
    <w:bookmarkEnd w:id="87"/>
    <w:bookmarkStart w:id="89" w:name="ref-Junninen04"/>
    <w:p>
      <w:pPr>
        <w:pStyle w:val="Bibliography"/>
      </w:pPr>
      <w:r>
        <w:t xml:space="preserve">Junninen, H., Niska, H., Tuppurainen, K., Ruuskanen, J., Kolehmainen, M., 2004. Methods for imputation of missing values in air quality data sets. Atmospheric Environment 38, 2895–2907.</w:t>
      </w:r>
      <w:r>
        <w:t xml:space="preserve"> </w:t>
      </w:r>
      <w:hyperlink r:id="rId88">
        <w:r>
          <w:rPr>
            <w:rStyle w:val="Hyperlink"/>
          </w:rPr>
          <w:t xml:space="preserve">https://doi.org/10.1016/j.atmosenv.2004.02.026</w:t>
        </w:r>
      </w:hyperlink>
    </w:p>
    <w:bookmarkEnd w:id="89"/>
    <w:bookmarkStart w:id="90" w:name="ref-Kimmerer14"/>
    <w:p>
      <w:pPr>
        <w:pStyle w:val="Bibliography"/>
      </w:pPr>
      <w:r>
        <w:t xml:space="preserve">Kimmerer, W.J., Thompson, J.K., 2014. Phytoplankton growth balanced by clam and zooplankton grazing and net transport into the low-salinity zone of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Estuaries and Coasts 37, 1202–1218.</w:t>
      </w:r>
    </w:p>
    <w:bookmarkEnd w:id="90"/>
    <w:bookmarkStart w:id="92" w:name="ref-Lefcheck17"/>
    <w:p>
      <w:pPr>
        <w:pStyle w:val="Bibliography"/>
      </w:pPr>
      <w:r>
        <w:t xml:space="preserve">Lefcheck, J.S., Wilcox, D.J., Murphy, R.R., Marion, S.R., Orth, R.J., 2017. Multiple stressors threaten the imperiled coastal foundation species eelgrass (</w:t>
      </w:r>
      <w:r>
        <w:rPr>
          <w:iCs/>
          <w:i/>
        </w:rPr>
        <w:t xml:space="preserve">zostera marina</w:t>
      </w:r>
      <w:r>
        <w:t xml:space="preserve">) in</w:t>
      </w:r>
      <w:r>
        <w:t xml:space="preserve"> </w:t>
      </w:r>
      <w:r>
        <w:t xml:space="preserve">C</w:t>
      </w:r>
      <w:r>
        <w:t xml:space="preserve">hesapeake</w:t>
      </w:r>
      <w:r>
        <w:t xml:space="preserve"> </w:t>
      </w:r>
      <w:r>
        <w:t xml:space="preserve">B</w:t>
      </w:r>
      <w:r>
        <w:t xml:space="preserve">ay,</w:t>
      </w:r>
      <w:r>
        <w:t xml:space="preserve"> </w:t>
      </w:r>
      <w:r>
        <w:t xml:space="preserve">USA</w:t>
      </w:r>
      <w:r>
        <w:t xml:space="preserve">. Global Change Biology 23, 3474–3483.</w:t>
      </w:r>
      <w:r>
        <w:t xml:space="preserve"> </w:t>
      </w:r>
      <w:hyperlink r:id="rId91">
        <w:r>
          <w:rPr>
            <w:rStyle w:val="Hyperlink"/>
          </w:rPr>
          <w:t xml:space="preserve">https://doi.org/10.1111/gcb.13623</w:t>
        </w:r>
      </w:hyperlink>
    </w:p>
    <w:bookmarkEnd w:id="92"/>
    <w:bookmarkStart w:id="94" w:name="ref-Lehman17"/>
    <w:p>
      <w:pPr>
        <w:pStyle w:val="Bibliography"/>
      </w:pPr>
      <w:r>
        <w:t xml:space="preserve">Lehman, P.W., Kurobe, T., Lesmeister, S., Baxa, D., Tung, A., Teh, S.J., 2017. Impacts of the 2014 severe drought on the</w:t>
      </w:r>
      <w:r>
        <w:t xml:space="preserve"> </w:t>
      </w:r>
      <w:r>
        <w:t xml:space="preserve">M</w:t>
      </w:r>
      <w:r>
        <w:t xml:space="preserve">icrocystis bloom in</w:t>
      </w:r>
      <w:r>
        <w:t xml:space="preserve"> </w:t>
      </w:r>
      <w:r>
        <w:t xml:space="preserve">S</w:t>
      </w:r>
      <w:r>
        <w:t xml:space="preserve">an</w:t>
      </w:r>
      <w:r>
        <w:t xml:space="preserve"> </w:t>
      </w:r>
      <w:r>
        <w:t xml:space="preserve">F</w:t>
      </w:r>
      <w:r>
        <w:t xml:space="preserve">rancisco</w:t>
      </w:r>
      <w:r>
        <w:t xml:space="preserve"> </w:t>
      </w:r>
      <w:r>
        <w:t xml:space="preserve">E</w:t>
      </w:r>
      <w:r>
        <w:t xml:space="preserve">stuary. Harmful Algae 63, 94–108.</w:t>
      </w:r>
      <w:r>
        <w:t xml:space="preserve"> </w:t>
      </w:r>
      <w:hyperlink r:id="rId93">
        <w:r>
          <w:rPr>
            <w:rStyle w:val="Hyperlink"/>
          </w:rPr>
          <w:t xml:space="preserve">https://doi.org/10.1016/j.hal.2017.01.011</w:t>
        </w:r>
      </w:hyperlink>
    </w:p>
    <w:bookmarkEnd w:id="94"/>
    <w:bookmarkStart w:id="96" w:name="ref-Lortie14"/>
    <w:p>
      <w:pPr>
        <w:pStyle w:val="Bibliography"/>
      </w:pPr>
      <w:r>
        <w:t xml:space="preserve">Lortie, C.J., 2014. Formalized synthesis opportunities for ecology: Systematic reviews and meta-analyses. OIKOS 123, 897–902.</w:t>
      </w:r>
      <w:r>
        <w:t xml:space="preserve"> </w:t>
      </w:r>
      <w:hyperlink r:id="rId95">
        <w:r>
          <w:rPr>
            <w:rStyle w:val="Hyperlink"/>
          </w:rPr>
          <w:t xml:space="preserve">https://doi.org/10.1111/j.1600-0706.2013.00970.x</w:t>
        </w:r>
      </w:hyperlink>
    </w:p>
    <w:bookmarkEnd w:id="96"/>
    <w:bookmarkStart w:id="98" w:name="ref-Morton08"/>
    <w:p>
      <w:pPr>
        <w:pStyle w:val="Bibliography"/>
      </w:pPr>
      <w:r>
        <w:t xml:space="preserve">Morton, R., Henderson, B.L., 2008. Estimation of nonlinear trends in water quality: An improved approach using generalized additive models. Water Resources Research 44, W07420.</w:t>
      </w:r>
      <w:r>
        <w:t xml:space="preserve"> </w:t>
      </w:r>
      <w:hyperlink r:id="rId97">
        <w:r>
          <w:rPr>
            <w:rStyle w:val="Hyperlink"/>
          </w:rPr>
          <w:t xml:space="preserve">https://doi.org/10.1029/2007WR006191</w:t>
        </w:r>
      </w:hyperlink>
    </w:p>
    <w:bookmarkEnd w:id="98"/>
    <w:bookmarkStart w:id="100"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99">
        <w:r>
          <w:rPr>
            <w:rStyle w:val="Hyperlink"/>
          </w:rPr>
          <w:t xml:space="preserve">https://doi.org/10.1016/j.envsoft.2019.03.027</w:t>
        </w:r>
      </w:hyperlink>
    </w:p>
    <w:bookmarkEnd w:id="100"/>
    <w:bookmarkStart w:id="102" w:name="ref-Navarro12"/>
    <w:p>
      <w:pPr>
        <w:pStyle w:val="Bibliography"/>
      </w:pPr>
      <w:r>
        <w:t xml:space="preserve">Navarro, G., Caballero, I., Prieto, L., Vázquez, A., Flecha, S., Huertas, I.E., Ruiz, J., 2012. Seasonal-to-interannual variability of chlorophyll-</w:t>
      </w:r>
      <w:r>
        <w:rPr>
          <w:iCs/>
          <w:i/>
        </w:rPr>
        <w:t xml:space="preserve">a</w:t>
      </w:r>
      <w:r>
        <w:t xml:space="preserve"> </w:t>
      </w:r>
      <w:r>
        <w:t xml:space="preserve">bloom timing associated with physical forcing in the</w:t>
      </w:r>
      <w:r>
        <w:t xml:space="preserve"> </w:t>
      </w:r>
      <w:r>
        <w:t xml:space="preserve">G</w:t>
      </w:r>
      <w:r>
        <w:t xml:space="preserve">ulf of</w:t>
      </w:r>
      <w:r>
        <w:t xml:space="preserve"> </w:t>
      </w:r>
      <w:r>
        <w:t xml:space="preserve">C</w:t>
      </w:r>
      <w:r>
        <w:t xml:space="preserve">ádiz. Advances in Space Research 50, 1164–1172.</w:t>
      </w:r>
      <w:r>
        <w:t xml:space="preserve"> </w:t>
      </w:r>
      <w:hyperlink r:id="rId101">
        <w:r>
          <w:rPr>
            <w:rStyle w:val="Hyperlink"/>
          </w:rPr>
          <w:t xml:space="preserve">https://doi.org/10.1016/j.asr.2011.11.034</w:t>
        </w:r>
      </w:hyperlink>
    </w:p>
    <w:bookmarkEnd w:id="102"/>
    <w:bookmarkStart w:id="103" w:name="ref-Novick14"/>
    <w:p>
      <w:pPr>
        <w:pStyle w:val="Bibliography"/>
      </w:pPr>
      <w:r>
        <w:t xml:space="preserve">Novick, E., Senn, D., 2014. External nutrient loads to</w:t>
      </w:r>
      <w:r>
        <w:t xml:space="preserve"> </w:t>
      </w:r>
      <w:r>
        <w:t xml:space="preserve">S</w:t>
      </w:r>
      <w:r>
        <w:t xml:space="preserve">an</w:t>
      </w:r>
      <w:r>
        <w:t xml:space="preserve"> </w:t>
      </w:r>
      <w:r>
        <w:t xml:space="preserve">F</w:t>
      </w:r>
      <w:r>
        <w:t xml:space="preserve">rancisco</w:t>
      </w:r>
      <w:r>
        <w:t xml:space="preserve"> </w:t>
      </w:r>
      <w:r>
        <w:t xml:space="preserve">B</w:t>
      </w:r>
      <w:r>
        <w:t xml:space="preserve">ay (No. Contribution Number 704). San Francisco Estuary Institute, Richmond, CA.</w:t>
      </w:r>
    </w:p>
    <w:bookmarkEnd w:id="103"/>
    <w:bookmarkStart w:id="105" w:name="ref-Pearce11"/>
    <w:p>
      <w:pPr>
        <w:pStyle w:val="Bibliography"/>
      </w:pPr>
      <w:r>
        <w:t xml:space="preserve">Pearce, J.L., Beringer, J., Nicholls, N., Hyndman, R.J., Tapper, N.J., 2011. Quantifying the influence of local meteorology on air quality using generalized additive models. Atmospheric Environment 45, 1328–1336.</w:t>
      </w:r>
      <w:r>
        <w:t xml:space="preserve"> </w:t>
      </w:r>
      <w:hyperlink r:id="rId104">
        <w:r>
          <w:rPr>
            <w:rStyle w:val="Hyperlink"/>
          </w:rPr>
          <w:t xml:space="preserve">https://doi.org/10.1016/j.atmosenv.2010.11.051</w:t>
        </w:r>
      </w:hyperlink>
    </w:p>
    <w:bookmarkEnd w:id="105"/>
    <w:bookmarkStart w:id="106" w:name="ref-RCT20"/>
    <w:p>
      <w:pPr>
        <w:pStyle w:val="Bibliography"/>
      </w:pPr>
      <w:r>
        <w:t xml:space="preserve">R Core Team, 2020. R: A language and environment for statistical computing. R Foundation for Statistical Computing, R v4.0.2, Vienna, Austria.</w:t>
      </w:r>
    </w:p>
    <w:bookmarkEnd w:id="106"/>
    <w:bookmarkStart w:id="108" w:name="ref-Racault14"/>
    <w:p>
      <w:pPr>
        <w:pStyle w:val="Bibliography"/>
      </w:pPr>
      <w:r>
        <w:t xml:space="preserve">Racault, M.F., Sathyendranath, S., Platt, T., 2014. Impact of missing data on the estimation of ecological indicators from satellite ocean-colour time series. Remote Sensing of Environment 152, 15–28.</w:t>
      </w:r>
      <w:r>
        <w:t xml:space="preserve"> </w:t>
      </w:r>
      <w:hyperlink r:id="rId107">
        <w:r>
          <w:rPr>
            <w:rStyle w:val="Hyperlink"/>
          </w:rPr>
          <w:t xml:space="preserve">https://doi.org/10.1016/j.rse.2014.05.016</w:t>
        </w:r>
      </w:hyperlink>
    </w:p>
    <w:bookmarkEnd w:id="108"/>
    <w:bookmarkStart w:id="109" w:name="ref-Schraga20"/>
    <w:p>
      <w:pPr>
        <w:pStyle w:val="Bibliography"/>
      </w:pPr>
      <w:r>
        <w:t xml:space="preserve">Schraga, T.S., Nejad, E.S., Martin, C.A., Cloern, J.E., 2020.</w:t>
      </w:r>
      <w:r>
        <w:t xml:space="preserve"> </w:t>
      </w:r>
      <w:r>
        <w:t xml:space="preserve">USGS measurements of water quality in San Francisco (CA), beginning in 2016 (ver. 3.0, March 2020): U.S. Geological Survey data release. https://doi.org/10.5066/F7D21WGF</w:t>
      </w:r>
      <w:r>
        <w:t xml:space="preserve">.</w:t>
      </w:r>
    </w:p>
    <w:bookmarkEnd w:id="109"/>
    <w:bookmarkStart w:id="111" w:name="ref-Sera19"/>
    <w:p>
      <w:pPr>
        <w:pStyle w:val="Bibliography"/>
      </w:pPr>
      <w:r>
        <w:t xml:space="preserve">Sera, F., Armstrong, B., Blangiardo, M., Gasparrini, A., 2019. An extended mixed-effects framework for meta-analysis. Statistics in Medicine 38, 5429–5444.</w:t>
      </w:r>
      <w:r>
        <w:t xml:space="preserve"> </w:t>
      </w:r>
      <w:hyperlink r:id="rId110">
        <w:r>
          <w:rPr>
            <w:rStyle w:val="Hyperlink"/>
          </w:rPr>
          <w:t xml:space="preserve">https://doi.org/10.1002/sim.8362</w:t>
        </w:r>
      </w:hyperlink>
    </w:p>
    <w:bookmarkEnd w:id="111"/>
    <w:bookmarkStart w:id="113" w:name="ref-Shabman03"/>
    <w:p>
      <w:pPr>
        <w:pStyle w:val="Bibliography"/>
      </w:pPr>
      <w:r>
        <w:t xml:space="preserve">Shabman, L., Smith, E., 2003. Implications of applying statistically based procedures for water quality assessment. Journal of Water Resources Planning and Management 129, 330–336.</w:t>
      </w:r>
      <w:r>
        <w:t xml:space="preserve"> </w:t>
      </w:r>
      <w:hyperlink r:id="rId112">
        <w:r>
          <w:rPr>
            <w:rStyle w:val="Hyperlink"/>
          </w:rPr>
          <w:t xml:space="preserve">https://doi.org/10.1061/(ASCE)0733-9496(2003)129:4(330)</w:t>
        </w:r>
      </w:hyperlink>
    </w:p>
    <w:bookmarkEnd w:id="113"/>
    <w:bookmarkStart w:id="115" w:name="ref-Smith01"/>
    <w:p>
      <w:pPr>
        <w:pStyle w:val="Bibliography"/>
      </w:pPr>
      <w:r>
        <w:t xml:space="preserve">Smith, E.P., Ye, K., Hughes, C., Shabman, L., 2001. Statistical assessment of violations of water quality standards under section 303 (d) of the</w:t>
      </w:r>
      <w:r>
        <w:t xml:space="preserve"> </w:t>
      </w:r>
      <w:r>
        <w:t xml:space="preserve">C</w:t>
      </w:r>
      <w:r>
        <w:t xml:space="preserve">lean</w:t>
      </w:r>
      <w:r>
        <w:t xml:space="preserve"> </w:t>
      </w:r>
      <w:r>
        <w:t xml:space="preserve">W</w:t>
      </w:r>
      <w:r>
        <w:t xml:space="preserve">ater</w:t>
      </w:r>
      <w:r>
        <w:t xml:space="preserve"> </w:t>
      </w:r>
      <w:r>
        <w:t xml:space="preserve">A</w:t>
      </w:r>
      <w:r>
        <w:t xml:space="preserve">ct. Environmental science &amp; technology 35, 606–612.</w:t>
      </w:r>
      <w:r>
        <w:t xml:space="preserve"> </w:t>
      </w:r>
      <w:hyperlink r:id="rId114">
        <w:r>
          <w:rPr>
            <w:rStyle w:val="Hyperlink"/>
          </w:rPr>
          <w:t xml:space="preserve">https://doi.org/10.1021/es001159e</w:t>
        </w:r>
      </w:hyperlink>
    </w:p>
    <w:bookmarkEnd w:id="115"/>
    <w:bookmarkStart w:id="117" w:name="ref-Stow15"/>
    <w:p>
      <w:pPr>
        <w:pStyle w:val="Bibliography"/>
      </w:pPr>
      <w:r>
        <w:t xml:space="preserve">Stow, C.A., Cha, Y., Johnson, L.T., Confesor, R., Richards, R.P., 2015. Long-term and seasonal trend decomposition of</w:t>
      </w:r>
      <w:r>
        <w:t xml:space="preserve"> </w:t>
      </w:r>
      <w:r>
        <w:t xml:space="preserve">M</w:t>
      </w:r>
      <w:r>
        <w:t xml:space="preserve">aumee</w:t>
      </w:r>
      <w:r>
        <w:t xml:space="preserve"> </w:t>
      </w:r>
      <w:r>
        <w:t xml:space="preserve">R</w:t>
      </w:r>
      <w:r>
        <w:t xml:space="preserve">iver nutrient inputs to western</w:t>
      </w:r>
      <w:r>
        <w:t xml:space="preserve"> </w:t>
      </w:r>
      <w:r>
        <w:t xml:space="preserve">L</w:t>
      </w:r>
      <w:r>
        <w:t xml:space="preserve">ake</w:t>
      </w:r>
      <w:r>
        <w:t xml:space="preserve"> </w:t>
      </w:r>
      <w:r>
        <w:t xml:space="preserve">E</w:t>
      </w:r>
      <w:r>
        <w:t xml:space="preserve">rie. Environmental Science and Technology 49, 3392–3400.</w:t>
      </w:r>
      <w:r>
        <w:t xml:space="preserve"> </w:t>
      </w:r>
      <w:hyperlink r:id="rId116">
        <w:r>
          <w:rPr>
            <w:rStyle w:val="Hyperlink"/>
          </w:rPr>
          <w:t xml:space="preserve">https://doi.org/10.1021/es5062648</w:t>
        </w:r>
      </w:hyperlink>
    </w:p>
    <w:bookmarkEnd w:id="117"/>
    <w:bookmarkStart w:id="119" w:name="ref-Urquhart98"/>
    <w:p>
      <w:pPr>
        <w:pStyle w:val="Bibliography"/>
      </w:pPr>
      <w:r>
        <w:t xml:space="preserve">Urquhart, N.S., Paulsen, S.G., Larsen, D.P., 1998. Monitoring for policy-relevant regional trends over time. Ecological Applications 8, 246–257.</w:t>
      </w:r>
      <w:r>
        <w:t xml:space="preserve"> </w:t>
      </w:r>
      <w:hyperlink r:id="rId118">
        <w:r>
          <w:rPr>
            <w:rStyle w:val="Hyperlink"/>
          </w:rPr>
          <w:t xml:space="preserve">https://doi.org/10.1890/1051-0761(1998)008[0246:MFPRRO]2.0.CO;2</w:t>
        </w:r>
      </w:hyperlink>
    </w:p>
    <w:bookmarkEnd w:id="119"/>
    <w:bookmarkStart w:id="120" w:name="ref-Wan17"/>
    <w:p>
      <w:pPr>
        <w:pStyle w:val="Bibliography"/>
      </w:pPr>
      <w:r>
        <w:t xml:space="preserve">Wan, Y., Wan, L., Li, Y., Doering, P., 2017. Decadal and seasonal trends of nutrient concentration and export from highly managed coastal catchments. Water Research 115, 180–194.</w:t>
      </w:r>
    </w:p>
    <w:bookmarkEnd w:id="120"/>
    <w:bookmarkStart w:id="121" w:name="ref-Wood17"/>
    <w:p>
      <w:pPr>
        <w:pStyle w:val="Bibliography"/>
      </w:pPr>
      <w:r>
        <w:t xml:space="preserve">Wood, S.N., 2017. Generalized additive models: An introduction with r, 2nd ed. Chapman; Hall, CRC Press, London, United Kingdom.</w:t>
      </w:r>
    </w:p>
    <w:bookmarkEnd w:id="121"/>
    <w:bookmarkStart w:id="123" w:name="ref-Wood04"/>
    <w:p>
      <w:pPr>
        <w:pStyle w:val="Bibliography"/>
      </w:pPr>
      <w:r>
        <w:t xml:space="preserve">Wood, S.N., 2004. Stable and efficient multiple smoothing parameter estimation for generalized additive models. Journal of the American Statistical Association 99, 673–686.</w:t>
      </w:r>
      <w:r>
        <w:t xml:space="preserve"> </w:t>
      </w:r>
      <w:hyperlink r:id="rId122">
        <w:r>
          <w:rPr>
            <w:rStyle w:val="Hyperlink"/>
          </w:rPr>
          <w:t xml:space="preserve">https://doi.org/10.1198/016214504000000980</w:t>
        </w:r>
      </w:hyperlink>
    </w:p>
    <w:bookmarkEnd w:id="123"/>
    <w:bookmarkStart w:id="125" w:name="ref-Wood03"/>
    <w:p>
      <w:pPr>
        <w:pStyle w:val="Bibliography"/>
      </w:pPr>
      <w:r>
        <w:t xml:space="preserve">Wood, S.N., 2003. Thin-plate regression splines. Journal of the Royal Statistical Society (B) 65, 95–114.</w:t>
      </w:r>
      <w:r>
        <w:t xml:space="preserve"> </w:t>
      </w:r>
      <w:hyperlink r:id="rId124">
        <w:r>
          <w:rPr>
            <w:rStyle w:val="Hyperlink"/>
          </w:rPr>
          <w:t xml:space="preserve">https://doi.org/10.1111/1467-9868.00374</w:t>
        </w:r>
      </w:hyperlink>
    </w:p>
    <w:bookmarkEnd w:id="125"/>
    <w:bookmarkStart w:id="127" w:name="ref-Wood02"/>
    <w:p>
      <w:pPr>
        <w:pStyle w:val="Bibliography"/>
      </w:pPr>
      <w:r>
        <w:t xml:space="preserve">Wood, S.N., Augustin, N.H., 2002.</w:t>
      </w:r>
      <w:r>
        <w:t xml:space="preserve"> </w:t>
      </w:r>
      <w:r>
        <w:t xml:space="preserve">GAM</w:t>
      </w:r>
      <w:r>
        <w:t xml:space="preserve">s with integrated model selection using penalized regression splines and applications to environmental modelling. Ecological Modelling 157, 157–177.</w:t>
      </w:r>
      <w:r>
        <w:t xml:space="preserve"> </w:t>
      </w:r>
      <w:hyperlink r:id="rId126">
        <w:r>
          <w:rPr>
            <w:rStyle w:val="Hyperlink"/>
          </w:rPr>
          <w:t xml:space="preserve">https://doi.org/10.1016/S0304-3800(02)00193-X</w:t>
        </w:r>
      </w:hyperlink>
    </w:p>
    <w:bookmarkEnd w:id="127"/>
    <w:bookmarkStart w:id="128" w:name="ref-Yang20"/>
    <w:p>
      <w:pPr>
        <w:pStyle w:val="Bibliography"/>
      </w:pPr>
      <w:r>
        <w:t xml:space="preserve">Yang, G., Moyer, D.L., 2020. Estimation of nonlinear water-quality trends in high-frequency monitoring data. Science of The Total Environment 715, 10.1016/j.scitotenv.2020.136686.</w:t>
      </w:r>
    </w:p>
    <w:bookmarkEnd w:id="128"/>
    <w:bookmarkStart w:id="129" w:name="ref-Zuur09"/>
    <w:p>
      <w:pPr>
        <w:pStyle w:val="Bibliography"/>
      </w:pPr>
      <w:r>
        <w:t xml:space="preserve">Zuur, A.F., Ieno, E.N., Walker, N.J., Saveliev, A.A., Smith, G.M., 2009. Mixed effects models and extensions in ecology with r. Springer-Verlag, New York, New York.</w:t>
      </w:r>
    </w:p>
    <w:bookmarkEnd w:id="129"/>
    <w:bookmarkEnd w:id="130"/>
    <w:bookmarkEnd w:id="131"/>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79" Target="https://doi.org/10.1002/env.751" TargetMode="External" /><Relationship Type="http://schemas.openxmlformats.org/officeDocument/2006/relationships/hyperlink" Id="rId75" Target="https://doi.org/10.1002/sim.5471" TargetMode="External" /><Relationship Type="http://schemas.openxmlformats.org/officeDocument/2006/relationships/hyperlink" Id="rId110" Target="https://doi.org/10.1002/sim.8362" TargetMode="External" /><Relationship Type="http://schemas.openxmlformats.org/officeDocument/2006/relationships/hyperlink" Id="rId57" Target="https://doi.org/10.1007/s10666-015-9452-8" TargetMode="External" /><Relationship Type="http://schemas.openxmlformats.org/officeDocument/2006/relationships/hyperlink" Id="rId69" Target="https://doi.org/10.1007/s12237-020-00737-w" TargetMode="External" /><Relationship Type="http://schemas.openxmlformats.org/officeDocument/2006/relationships/hyperlink" Id="rId126" Target="https://doi.org/10.1016/S0304-3800(02)00193-X" TargetMode="External" /><Relationship Type="http://schemas.openxmlformats.org/officeDocument/2006/relationships/hyperlink" Id="rId101" Target="https://doi.org/10.1016/j.asr.2011.11.034" TargetMode="External" /><Relationship Type="http://schemas.openxmlformats.org/officeDocument/2006/relationships/hyperlink" Id="rId88" Target="https://doi.org/10.1016/j.atmosenv.2004.02.026" TargetMode="External" /><Relationship Type="http://schemas.openxmlformats.org/officeDocument/2006/relationships/hyperlink" Id="rId104" Target="https://doi.org/10.1016/j.atmosenv.2010.11.051" TargetMode="External" /><Relationship Type="http://schemas.openxmlformats.org/officeDocument/2006/relationships/hyperlink" Id="rId73" Target="https://doi.org/10.1016/j.ecocom.2018.07.005" TargetMode="External" /><Relationship Type="http://schemas.openxmlformats.org/officeDocument/2006/relationships/hyperlink" Id="rId59" Target="https://doi.org/10.1016/j.ecss.2018.06.021" TargetMode="External" /><Relationship Type="http://schemas.openxmlformats.org/officeDocument/2006/relationships/hyperlink" Id="rId82" Target="https://doi.org/10.1016/j.envsoft.2015.07.017" TargetMode="External" /><Relationship Type="http://schemas.openxmlformats.org/officeDocument/2006/relationships/hyperlink" Id="rId99" Target="https://doi.org/10.1016/j.envsoft.2019.03.027" TargetMode="External" /><Relationship Type="http://schemas.openxmlformats.org/officeDocument/2006/relationships/hyperlink" Id="rId93" Target="https://doi.org/10.1016/j.hal.2017.01.011" TargetMode="External" /><Relationship Type="http://schemas.openxmlformats.org/officeDocument/2006/relationships/hyperlink" Id="rId107" Target="https://doi.org/10.1016/j.rse.2014.05.016" TargetMode="External" /><Relationship Type="http://schemas.openxmlformats.org/officeDocument/2006/relationships/hyperlink" Id="rId114" Target="https://doi.org/10.1021/es001159e" TargetMode="External" /><Relationship Type="http://schemas.openxmlformats.org/officeDocument/2006/relationships/hyperlink" Id="rId116" Target="https://doi.org/10.1021/es5062648" TargetMode="External" /><Relationship Type="http://schemas.openxmlformats.org/officeDocument/2006/relationships/hyperlink" Id="rId97" Target="https://doi.org/10.1029/2007WR006191" TargetMode="External" /><Relationship Type="http://schemas.openxmlformats.org/officeDocument/2006/relationships/hyperlink" Id="rId64" Target="https://doi.org/10.1029/2012RG000397" TargetMode="External" /><Relationship Type="http://schemas.openxmlformats.org/officeDocument/2006/relationships/hyperlink" Id="rId112" Target="https://doi.org/10.1061/(ASCE)0733-9496(2003)129:4(330)" TargetMode="External" /><Relationship Type="http://schemas.openxmlformats.org/officeDocument/2006/relationships/hyperlink" Id="rId124" Target="https://doi.org/10.1111/1467-9868.00374" TargetMode="External" /><Relationship Type="http://schemas.openxmlformats.org/officeDocument/2006/relationships/hyperlink" Id="rId61" Target="https://doi.org/10.1111/1752-1688.12489" TargetMode="External" /><Relationship Type="http://schemas.openxmlformats.org/officeDocument/2006/relationships/hyperlink" Id="rId91" Target="https://doi.org/10.1111/gcb.13623" TargetMode="External" /><Relationship Type="http://schemas.openxmlformats.org/officeDocument/2006/relationships/hyperlink" Id="rId95" Target="https://doi.org/10.1111/j.1600-0706.2013.00970.x" TargetMode="External" /><Relationship Type="http://schemas.openxmlformats.org/officeDocument/2006/relationships/hyperlink" Id="rId122" Target="https://doi.org/10.1198/016214504000000980" TargetMode="External" /><Relationship Type="http://schemas.openxmlformats.org/officeDocument/2006/relationships/hyperlink" Id="rId118" Target="https://doi.org/10.1890/1051-0761(1998)008[0246:MFPRRO]2.0.CO;2" TargetMode="External" /><Relationship Type="http://schemas.openxmlformats.org/officeDocument/2006/relationships/hyperlink" Id="rId29" Target="https://nutrient-data.sfei.org/apps/SFbaytrends/" TargetMode="External" /><Relationship Type="http://schemas.openxmlformats.org/officeDocument/2006/relationships/hyperlink" Id="rId28"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79" Target="https://doi.org/10.1002/env.751" TargetMode="External" /><Relationship Type="http://schemas.openxmlformats.org/officeDocument/2006/relationships/hyperlink" Id="rId75" Target="https://doi.org/10.1002/sim.5471" TargetMode="External" /><Relationship Type="http://schemas.openxmlformats.org/officeDocument/2006/relationships/hyperlink" Id="rId110" Target="https://doi.org/10.1002/sim.8362" TargetMode="External" /><Relationship Type="http://schemas.openxmlformats.org/officeDocument/2006/relationships/hyperlink" Id="rId57" Target="https://doi.org/10.1007/s10666-015-9452-8" TargetMode="External" /><Relationship Type="http://schemas.openxmlformats.org/officeDocument/2006/relationships/hyperlink" Id="rId69" Target="https://doi.org/10.1007/s12237-020-00737-w" TargetMode="External" /><Relationship Type="http://schemas.openxmlformats.org/officeDocument/2006/relationships/hyperlink" Id="rId126" Target="https://doi.org/10.1016/S0304-3800(02)00193-X" TargetMode="External" /><Relationship Type="http://schemas.openxmlformats.org/officeDocument/2006/relationships/hyperlink" Id="rId101" Target="https://doi.org/10.1016/j.asr.2011.11.034" TargetMode="External" /><Relationship Type="http://schemas.openxmlformats.org/officeDocument/2006/relationships/hyperlink" Id="rId88" Target="https://doi.org/10.1016/j.atmosenv.2004.02.026" TargetMode="External" /><Relationship Type="http://schemas.openxmlformats.org/officeDocument/2006/relationships/hyperlink" Id="rId104" Target="https://doi.org/10.1016/j.atmosenv.2010.11.051" TargetMode="External" /><Relationship Type="http://schemas.openxmlformats.org/officeDocument/2006/relationships/hyperlink" Id="rId73" Target="https://doi.org/10.1016/j.ecocom.2018.07.005" TargetMode="External" /><Relationship Type="http://schemas.openxmlformats.org/officeDocument/2006/relationships/hyperlink" Id="rId59" Target="https://doi.org/10.1016/j.ecss.2018.06.021" TargetMode="External" /><Relationship Type="http://schemas.openxmlformats.org/officeDocument/2006/relationships/hyperlink" Id="rId82" Target="https://doi.org/10.1016/j.envsoft.2015.07.017" TargetMode="External" /><Relationship Type="http://schemas.openxmlformats.org/officeDocument/2006/relationships/hyperlink" Id="rId99" Target="https://doi.org/10.1016/j.envsoft.2019.03.027" TargetMode="External" /><Relationship Type="http://schemas.openxmlformats.org/officeDocument/2006/relationships/hyperlink" Id="rId93" Target="https://doi.org/10.1016/j.hal.2017.01.011" TargetMode="External" /><Relationship Type="http://schemas.openxmlformats.org/officeDocument/2006/relationships/hyperlink" Id="rId107" Target="https://doi.org/10.1016/j.rse.2014.05.016" TargetMode="External" /><Relationship Type="http://schemas.openxmlformats.org/officeDocument/2006/relationships/hyperlink" Id="rId114" Target="https://doi.org/10.1021/es001159e" TargetMode="External" /><Relationship Type="http://schemas.openxmlformats.org/officeDocument/2006/relationships/hyperlink" Id="rId116" Target="https://doi.org/10.1021/es5062648" TargetMode="External" /><Relationship Type="http://schemas.openxmlformats.org/officeDocument/2006/relationships/hyperlink" Id="rId97" Target="https://doi.org/10.1029/2007WR006191" TargetMode="External" /><Relationship Type="http://schemas.openxmlformats.org/officeDocument/2006/relationships/hyperlink" Id="rId64" Target="https://doi.org/10.1029/2012RG000397" TargetMode="External" /><Relationship Type="http://schemas.openxmlformats.org/officeDocument/2006/relationships/hyperlink" Id="rId112" Target="https://doi.org/10.1061/(ASCE)0733-9496(2003)129:4(330)" TargetMode="External" /><Relationship Type="http://schemas.openxmlformats.org/officeDocument/2006/relationships/hyperlink" Id="rId124" Target="https://doi.org/10.1111/1467-9868.00374" TargetMode="External" /><Relationship Type="http://schemas.openxmlformats.org/officeDocument/2006/relationships/hyperlink" Id="rId61" Target="https://doi.org/10.1111/1752-1688.12489" TargetMode="External" /><Relationship Type="http://schemas.openxmlformats.org/officeDocument/2006/relationships/hyperlink" Id="rId91" Target="https://doi.org/10.1111/gcb.13623" TargetMode="External" /><Relationship Type="http://schemas.openxmlformats.org/officeDocument/2006/relationships/hyperlink" Id="rId95" Target="https://doi.org/10.1111/j.1600-0706.2013.00970.x" TargetMode="External" /><Relationship Type="http://schemas.openxmlformats.org/officeDocument/2006/relationships/hyperlink" Id="rId122" Target="https://doi.org/10.1198/016214504000000980" TargetMode="External" /><Relationship Type="http://schemas.openxmlformats.org/officeDocument/2006/relationships/hyperlink" Id="rId118" Target="https://doi.org/10.1890/1051-0761(1998)008[0246:MFPRRO]2.0.CO;2" TargetMode="External" /><Relationship Type="http://schemas.openxmlformats.org/officeDocument/2006/relationships/hyperlink" Id="rId29" Target="https://nutrient-data.sfei.org/apps/SFbaytrends/" TargetMode="External" /><Relationship Type="http://schemas.openxmlformats.org/officeDocument/2006/relationships/hyperlink" Id="rId28"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2021-06-25T20:17:49Z</dcterms:created>
  <dcterms:modified xsi:type="dcterms:W3CDTF">2021-06-25T20:17:49Z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science-of-the-total-environment.csl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